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194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5020036-21.2013.4.04.7001/PR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26/10/2018 - afetado pelo Pleno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08/05/2019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qual o termo inicial do prazo prescricional das ações de repetição de indébito relativos a IR de pessoa física."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"Na pretensão de repetição de indébito do imposto de renda, que incidiu indevidamente em razão do já recolhimento da exação no interregno de janeiro de 1989 a dezembro de 1995, o termo inicial do prazo quinquenal segue a sistemática das obrigações de trato sucessivo, incidindo no momento do pagamento indevido, ocorrido quando da bitributação." (Tema 194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Incidência sobre Licença-Prêmio/Abono/Indenização, IRPF/Imposto de Renda de Pessoa Física, Impostos, DIREITO TRIBUTÁRIO, IRPF/Imposto de Renda de Pessoa Física, Impostos, DIREITO TRIBUTÁRIO, Repetição de Indébito, Crédito Tributário, DIREITO TRIBUTÁRIO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