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0504108- 62.2009.4.05.8200/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06/05/2011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12/09/2018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renovação do requerimento administrativo para concessão de benefício assistencial."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ajuizamento de ações visando o recebimento do benefício previsto no art. 203, V, da Constituição Federal não exige a renovação bienal do requerimento administrativo, afastada a indevida analogia ao art. 21, da Lei n. 8.742/93. RE 914797 - DECISÃO STF: determino a devolução dos autos ao Juízo de origem para que seja observada a decisão do Supremo no precedente RE 631.240 - TEMA 350." (Tema 10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Deficiente, Benefício Assistencial (Art. 203,V CF/88), DIREITO ASSISTENCIAL,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