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183</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0500796-67.2017.4.05.8307/PE</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21/06/2018 (afetado pelo Pleno da TNU)</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24/09/2019 (no STF - RE 1194635/PE)</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"Decidir se INSS tem responsabilidade civil pelos danos patrimoniais ou morais decorrentes de empréstimo consignado não autorizado."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"I - O INSS não tem responsabilidade civil pelos danos patrimoniais ou extrapatrimoniais decorrentes de “empréstimo consignado”, concedido mediante fraude, se a instituição financeira credora é a mesma responsável pelo pagamento do benefício previdenciário, nos termos do art. 6º, da Lei n. 10.820/03; II – O INSS pode ser civilmente responsabilizado por danos patrimoniais ou extrapatrimoniais, se demonstrada negligência, por omissão injustificada no desempenho do dever de fiscalização, se os “empréstimos consignados” forem concedidos, de forma fraudulenta, por instituições financeiras distintas daquelas responsáveis pelo pagamento dos benefícios previdenciários. A responsabilidade do INSS, nessa hipótese, é subsidiária em relação à responsabilidade civil da instituição financeira." (Tema 183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Contratos Bancários, Espécies de contratos, Obrigações, DIREITO CIVIL, Empréstimo consignado, Bancários, Contratos de Consumo, DIREITO DO CONSUMIDOR, Interpretação / Revisão de Contrato, Responsabilidade do Fornecedor,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