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183</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0500796-67.2017.4.05.8307/PE</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21/06/2018 (afetado pelo Pleno da TNU)</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24/09/2019 (no STF - RE 1194635/PE)</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"Decidir se INSS tem responsabilidade civil pelos danos patrimoniais ou morais decorrentes de empréstimo consignado não autorizado."</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"I - O INSS não tem responsabilidade civil pelos danos patrimoniais ou extrapatrimoniais decorrentes de “empréstimo consignado”, concedido mediante fraude, se a instituição financeira credora é a mesma responsável pelo pagamento do benefício previdenciário, nos termos do art. 6º, da Lei n. 10.820/03; II – O INSS pode ser civilmente responsabilizado por danos patrimoniais ou extrapatrimoniais, se demonstrada negligência, por omissão injustificada no desempenho do dever de fiscalização, se os “empréstimos consignados” forem concedidos, de forma fraudulenta, por instituições financeiras distintas daquelas responsáveis pelo pagamento dos benefícios previdenciários. A responsabilidade do INSS, nessa hipótese, é subsidiária em relação à responsabilidade civil da instituição financeira." (Tema 183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Indenização por Dano Moral, Responsabilidade do Fornecedor, DIREITO DO CONSUMIDOR, Bancários, Contratos de Consumo, DIREITO DO CONSUMIDOR, Empréstimo consignado, Bancários, Contratos de Consumo, DIREITO DO CONSUMIDOR, Dever de Informação, DIREITO DO CONSUMIDOR</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