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0174754-83.2016.4.02.5167/RJ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23/11/2020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sob o enfoque do artigo 33 da Medida Provisória nº 2.215-10/2001, é possível a conversão em pecúnia de licença especial não gozada pelo militar e nem computada em dobro para fins de transferência para a inatividade remunerada, mas que fora utilizada para majoração do percentual de adicional de permanência, mediante a exclusão da respectiva licença especial da base de cálculo dessa vantagem, bem como a devida compensação dos valores já recebidos a esse título."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possível a conversão em pecúnia de licença especial não gozada pelo militar e nem computada em dobro para fins de transferência para a inatividade remunerada, mas que fora utilizada para majoração do percentual de adicional de permanência, mediante a exclusão da respectiva licença especial da base de cálculo dessa vantagem, bem como a devida compensação dos valores já recebidos a esse título." (Tema 222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Férias, Sistema Remuneratório e Benefícios, Militar,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