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0504108- 62.2009.4.05.8200/ PB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06/05/2011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12/09/2018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necessidade de renovação do requerimento administrativo para concessão de benefício assistencial."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ajuizamento de ações visando o recebimento do benefício previsto no art. 203, V, da Constituição Federal não exige a renovação bienal do requerimento administrativo, afastada a indevida analogia ao art. 21, da Lei n. 8.742/93. RE 914797 - DECISÃO STF: determino a devolução dos autos ao Juízo de origem para que seja observada a decisão do Supremo no precedente RE 631.240 - TEMA 350." (Tema 10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Assistência Social, Garantias Constitucionais, DIREITO ADMINISTRATIVO E OUTRAS MATÉRIAS DE DIREITO PÚBLICO, Bolsa Família (Lei 14.601/2023), DIREITO ASSISTENCIAL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