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0174754-83.2016.4.02.5167/RJ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23/11/2020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se, sob o enfoque do artigo 33 da Medida Provisória nº 2.215-10/2001, 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possível a conversão em pecúnia de licença especial não gozada pelo militar e nem computada em dobro para fins de transferência para a inatividade remunerada, mas que fora utilizada para majoração do percentual de adicional de permanência, mediante a exclusão da respectiva licença especial da base de cálculo dessa vantagem, bem como a devida compensação dos valores já recebidos a esse título." (Tema 222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Transferência Discente, ACESSO, DIREITO À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