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244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5002880-91.2016.4.04.7105/RS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06/11/2019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RE 1413882/RS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auxílio-alimentação, pago em espécie e com habitualidade, por meio de vale-alimentação ou na forma de tickets, tem natureza salarial e integra o salário de contribuição para fins de cálculo da renda mensal inicial (RMI)."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"I) Anteriormente à vigência da Lei n. 13.416/2017, o auxílio-alimentação, pago em espécie e com habitualidade ou por meio de vale-alimentação/cartão ou tíquete-refeição/alimentação ou equivalente, integra a remuneração, constitui base de incidência da contribuição previdenciária patronal e do segurado, refletindo no cálculo da renda mensal inicial do benefício, esteja a empresa inscrita ou não no Programa de Alimentação do Trabalhador - PAT; II) A partir de 11/11/2017, com a vigência da Lei n. 13.416/2017, que conferiu nova redação ao § 2º do art. 457 da CLT, somente o pagamento do auxílio-alimentação em dinheiro integra a remuneração, constitui base de incidência da contribuição previdenciária patronal e do segurado, refletindo no cálculo da renda mensal inicial do benefício, esteja a empresa inscrita ou não no Programa de Alimentação do Trabalhador - PAT." (Tema 244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Alteração do coeficiente de cálculo do benefício, RMI - Renda Mensal Inicial, RMI - Renda Mensal Inicial, Reajustes e Revisões Específicas,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