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335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5029053-17.2021.4.03.6100/SP PEDILEF 1050950-69.2021.4.01.3500/GO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Feito sobrestado até o julgamento do Tema 1290/STJ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salário maternidade à segurada gestante cujo serviço desempenhado é incompatível com a prestação de atividades à distância, tendo em vista o disposto na Lei nº 14.151/2021, que prevê o afastamento das atividades presenciais da segurada gestante durante a emergência de saúde pública decorrente do novo Coronavírus."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"Enquadra-se como salário-maternidade a remuneração paga às trabalhadoras gestantes afastadas por força da Lei 14.151/21, quando comprovada a incompatibilidade com o trabalho à distância e for inviável a alteração de suas funções." (Tema 335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Único de Saúde (SUS),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