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0500881-37.2018.4.05.8204/PB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12/12/2019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da regra constante do art. 60, §9.º, da Lei n.º 8.213/91, saber se, para fins de fixação da DCB do auxílio-doença concedido judicialmente, o prazo de recuperação estimado pelo perito judicial deve ser computado a partir da data de sua efetiva implantação ou da data da perícia judicial."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 - Quando a decisão judicial adotar a estimativa de prazo de recuperação da capacidade prevista na perícia, o termo inicial é a data da realização do exame, sem prejuízo do disposto no art. 479 do CPC, devendo ser garantido prazo mínimo de 30 dias, desde a implantação, para viabilizar o pedido administrativo de prorrogação. II - quando o ato de concessão (administrativa ou judicial) não indicar o tempo de recuperação da capacidade, o prazo de 120 dias, previsto no § 9º, do art. 60 da Lei 8.213/91, deve ser contado a partir da data da efetiva implantação ou restabelecimento do benefício no sistema de gestão de benefícios da autarquia." (Tema 246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