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165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5012755-25.2015.4.04.7201/SC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01/06/2017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1º/9/2020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segurado que exerce atividades em condições especiais, quando em gozo do benefício por incapacidade, faz jus ou não ao cômputo de tal intervalo como especial."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período de auxílio-doença de natureza previdenciária, independente de comprovação da relação da moléstia com a atividade profissional do segurado, deve ser considerado como tempo especial quando trabalhador exercia atividade especial antes do afastamento. Tese no mesmo sentido do Tema 998/STJ: O Segurado que exerce atividades em condições especiais, quando em gozo de auxílio-doença, seja acidentário ou previdenciário, faz jus ao cômputo desse mesmo período como tempo de serviço especial. Obs.: com base no § 1º do art. 1.036 do CPC, foi admitido como representativo de controvérsia o recurso extraordinário interposto contra acórdão proferido no julgamento do Recurso Especial n. 1.723.181/RS (Tema Repetitivo n. 998/STJ). OBS: O STF, no julgamento do Tema 1107 (RE 1279819), decidiu que não há repercussão geral acerca da matéria." (Tema 165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Tempo de Serviço (Art. 52/4), Benefícios em Espécie, DIREITO PREVIDENCIÁRIO, Aposentadoria Especial (Art. 57/8),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