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2007.72.95.008821-4/ 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09/07/2009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05/06/2012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possível aplicar orientação firmada pelo STF, no RE 597389/ SP, aos casos onde já há coisa julgada."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"Não se aplica orientação firmada no RE 597389/ SP, no cálculo dos benefícios concedidos antes da Lei n. 9.032/95, cujas sentenças transitaram em julgado quando do pronunciamento do STF. Vide Tema 90." (Tema 28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Descontos Indevidos, Pedidos Genéricos Relativos aos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