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0021992-38.2008.4.01.3600/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10/03/2017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natureza jurídica da Gratificação de Estímulo à Docência no Magistério Superior (GED) após a MP n. 208/2004 - se parcela remuneratória geral ou "pro labore faciendo" - para fins de equiparação da pontuação dos servidores ativos aos inativos."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Lei 11.087/05, resultante da conversão da Medida Provisória 208/2004, não modificou a natureza pro labore faciendo da GED, porquanto trouxe apenas alteração nos pontos a serem atribuídos a ativos e inativos, preservando-se a diferenciação estabelecida na Lei 9.784/1998, inclusive quanto aos servidores docentes cedidos." (PET 9600/STJ) Obs: O referido entendimento foi aplicado também à PET 9645/STJ, oriunda deste representativo." (Tema 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