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246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0500881-37.2018.4.05.8204/PB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12/12/2019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29/01/2021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partir da regra constante do art. 60, §9.º, da Lei n.º 8.213/91, saber se, para fins de fixação da DCB do auxílio-doença concedido judicialmente, o prazo de recuperação estimado pelo perito judicial deve ser computado a partir da data de sua efetiva implantação ou da data da perícia judicial."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"I - Quando a decisão judicial adotar a estimativa de prazo de recuperação da capacidade prevista na perícia, o termo inicial é a data da realização do exame, sem prejuízo do disposto no art. 479 do CPC, devendo ser garantido prazo mínimo de 30 dias, desde a implantação, para viabilizar o pedido administrativo de prorrogação. II - quando o ato de concessão (administrativa ou judicial) não indicar o tempo de recuperação da capacidade, o prazo de 120 dias, previsto no § 9º, do art. 60 da Lei 8.213/91, deve ser contado a partir da data da efetiva implantação ou restabelecimento do benefício no sistema de gestão de benefícios da autarquia." (Tema 246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Sistema Remuneratório e Benefícios, Militar,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