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194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5020036-21.2013.4.04.7001/PR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26/10/2018 - afetado pelo Pleno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08/05/2019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termo inicial do prazo prescricional das ações de repetição de indébito relativos a IR de pessoa física."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"Na pretensão de repetição de indébito do imposto de renda, que incidiu indevidamente em razão do já recolhimento da exação no interregno de janeiro de 1989 a dezembro de 1995, o termo inicial do prazo quinquenal segue a sistemática das obrigações de trato sucessivo, incidindo no momento do pagamento indevido, ocorrido quando da bitributação." (Tema 194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IRPF/Imposto de Renda de Pessoa Física, Impostos, DIREITO TRIBUTÁRIO, Isenção, Limitações ao Poder de Tributar, DIREITO TRIBUTÁRIO, Repetição de Indébito, Crédito Tributário,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