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194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5020036-21.2013.4.04.7001/PR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26/10/2018 - afetado pelo Pleno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08/05/2019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termo inicial do prazo prescricional das ações de repetição de indébito relativos a IR de pessoa física."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"Na pretensão de repetição de indébito do imposto de renda, que incidiu indevidamente em razão do já recolhimento da exação no interregno de janeiro de 1989 a dezembro de 1995, o termo inicial do prazo quinquenal segue a sistemática das obrigações de trato sucessivo, incidindo no momento do pagamento indevido, ocorrido quando da bitributação." (Tema 194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Retido na fonte, IRPF/Imposto de Renda de Pessoa Física, Impostos, DIREITO TRIBUTÁRIO, Repetição de Indébito, Crédito Tributário,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