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0504108- 62.2009.4.05.8200/ 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06/05/2011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12/09/2018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renovação do requerimento administrativo para concessão de benefício assistencial."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ajuizamento de ações visando o recebimento do benefício previsto no art. 203, V, da Constituição Federal não exige a renovação bienal do requerimento administrativo, afastada a indevida analogia ao art. 21, da Lei n. 8.742/93. RE 914797 - DECISÃO STF: determino a devolução dos autos ao Juízo de origem para que seja observada a decisão do Supremo no precedente RE 631.240 - TEMA 350." (Tema 10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Idoso, Benefício Assistencial (Art. 203,V CF/88), DIREITO ASSISTENCIAL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