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2005.37.00.749443-3/ MA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17/10/2012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15/04/2013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rito da Lei n. 10.259/2001 pode ser aplicado no âmbito dos juizados especiais estaduais para julgamento das ações previdenciárias, em razão da competência delegada (CF/88 art. 109, § 3º)."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absoluta a incompetência do Juizado Especial Cível Estadual para o processamento e julgamento das causas previdenciárias, por expressa vedação legal à aplicação da Lei n. 10.259/2001 no âmbito do juízo estadual." (Tema 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Cota para Ingresso - Ações Afirmativas, ACESSO, DIREITO À EDUCAÇÃO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