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da Administração, DIREITO ADMINISTRATIVO E OUTRAS MATÉRIAS DE DIREITO PÚBLICO, Indenização por Dano Material, Responsabilidade da Administração, DIREITO ADMINISTRATIVO E OUTRAS MATÉRIAS DE DIREITO PÚBLICO, Obrigação de Fazer / Não Fazer, Liquidação / Cumprimento / Execução,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