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5007045-38.2012.4.04.7101/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19/12/2013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os reflexos do Memorando-Circular Conjunto 21/DIRBEN/PFEINSS, de 15-4-2010, na análise da prescrição e decadência dos pedidos de revisão de benefícios."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revisão do benefício de aposentadoria por invalidez decorrente da conversão do auxílio- doença, nos termos do art. 29, II, da Lei n. 8.213/91, sujeita-se ao prazo decadencial previsto no art. 103 da Lei n. 8.213/91, cujo marco inicial é a data da concessão do benefício originário. O prazo decadencial para revisão pelo art. 29, II, da Lei 8.213/91 se inicia a contar de 15/04/2010, em razão do reconhecimento administrativo do direito, perpetrada pelo Memorando-Circular Conjunto 21/DIRBENS/PFEINSS. Em razão do Memorando 21/DIRBEN/PFEINSS, de 15-4-2010, que reconhece o direito do segurado à revisão pelo art. 29, II, da Lei n. 8.213/91, os prazos prescricionais em curso voltaram a correr integralmente a partir de sua publicação. Vide Tema 134." (Tema 120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Auxílio-Doença Previdenciário, Benefícios em Espécie, DIREITO PREVIDENCIÁRIO, Concessão, Pedidos Genéricos Relativos aos Benefícios em Espécie, DIREITO PREVIDENCIÁRIO, Aposentadoria por Invalidez (Art. 42/7),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