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0500255-75.2019.4.05.8303/PE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16/10/2020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25/04/2022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"Saber, à vista do decidido no Tema 164/TNU, quais as consequências da ausência de pedido administrativo de prorrogação do auxílio-doença cessado por alta programada na postulação judicial de restabelecimento do benefício."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direito à continuidade do benefício por incapacidade temporária com estimativa de DCB (alta programada) pressupõe, por parte do segurado, pedido de prorrogação (§ 9º, art. 60 da Lei n. 8.213/91), recurso administrativo ou pedido de reconsideração, quando previstos normativamente, sem o quê não se configura interesse de agir em juízo." (Tema 277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Incapacidade Laborativa Temporária, Auxílio-Acidente (Art. 86),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