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0501240-10.2020.4.05.8303/PE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17/03/2022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24/10/2022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à luz da exigência de que o período de exercício de atividade rural seja imediatamente anterior ao requerimento de benefício ou implemento da idade, ainda que descontínuo, conforme arts. 39, i, 48, §2º e 143, todos da Lei 8.213/91, o exercício de atividade urbana por mais de 120 dias, corridos ou intercalados, no ano civil, na vigência da Lei 11.718/2008, implica, além da perda da qualidade de segurado especial, ruptura do perfil de trabalhador rural e interrupção da contagem do tempo de atividade rural (carência), impedindo o somatório dos períodos de atividade campesina anterior e posterior ao vínculo urbano que extrapolou o limite legal, exigindo nova contagem integral do intervalo exigido por lei para a aposentadoria por idade rural pura."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"Cômputo do Tempo de Trabalho Rural I. Para a aposentadoria por idade do trabalhador rural não será considerada a perda da qualidade de segurado nos intervalos entre as atividades rurícolas. Descaracterização da condição de segurado especial II. A condição de segurado especial é descaracterizada a partir do 1º dia do mês seguinte ao da extrapolação dos 120 dias de atividade remunerada no ano civil (Lei 8.213/91, art. 11, § 9º, III); III. Cessada a atividade remunerada referida no item II e comprovado o retorno ao trabalho de segurado especial, na forma do art. 55, parag. 3o, da Lei 8.213/91, o trabalhador volta a se inserir imediatamente no VII, do art. 11 da Lei 8.213/91, ainda que no mesmo ano civil." (Tema 301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- Urbana (art. 48/51), Aposentadoria por Idade (Art. 48/51), Benefícios em Espécie, DIREITO PREVIDENCIÁRIO, Averbação/Cômputo/Conversão de tempo de serviço especial, Tempo de serviço, DIREITO PREVIDENCIÁRIO, Averbação/Cômputo de tempo de serviço urbano,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