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5093930-80.2021.4.02.5101/RJ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15/02/2024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abono PCR está sujeito à incidência do imposto de renda das pessoas físicas - IRPF."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verba denominada ‘abono PCR’, paga pela Petrobras aos seus funcionários como forma de estimular a migração de plano de carreira se sujeita à incidência do imposto sobre a renda." (Tema 312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Incidência sobre Férias Compensadas, IRPF/Imposto de Renda de Pessoa Física, Impostos, DIREITO TRIBUTÁRIO, Retido na fonte, IRPF/Imposto de Renda de Pessoa Física, Impostos, DIREITO TRIBUTÁRIO, Incidência sobre Licença-Prêmio/Abono/Indenização,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