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5002880-91.2016.4.04.7105/RS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1413882/RS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auxílio-alimentação, pago em espécie e com habitualidade, por meio de vale-alimentação ou na forma de tickets, tem natureza salarial e integra o salário de contribuição para fins de cálculo da renda mensal inicial (RMI)."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Anteriormente à vigência da Lei n. 13.416/2017, o auxílio-alimentação, pago em espécie e com habitualidade ou por meio de vale-alimentação/cartão ou tíquete-refeição/alimentação ou equivalente, integra a remuneração, constitui base de incidência da contribuição previdenciária patronal e do segurado, refletindo no cálculo da renda mensal inicial do benefício, esteja a empresa inscrita ou não no Programa de Alimentação do Trabalhador - PAT; II) A partir de 11/11/2017, com a vigência da Lei n. 13.416/2017, que conferiu nova redação ao § 2º do art. 457 da CLT, somente o pagamento do auxílio-alimentação em dinheiro integra a remuneração, constitui base de incidência da contribuição previdenciária patronal e do segurado, refletindo no cálculo da renda mensal inicial do benefício, esteja a empresa inscrita ou não no Programa de Alimentação do Trabalhador - PAT." (Tema 244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RMI - Renda Mensal Inicial, RMI - Renda Mensal Inicial, Reajustes e Revisões Específicas, DIREITO PREVIDENCIÁRIO, Aposentadoria por Tempo de Contribuição (Art. 55/6), Benefícios em Espécie, DIREITO PREVIDENCIÁRIO, Agente Agressivo - Biológico, Aposentadoria Especial (Art. 57/8),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