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Urbana (art. 42/44), Aposentadoria por Invalidez (Art. 42/7), Benefícios em Espécie, DIREITO PREVIDENCIÁRIO, Indenização por dano moral, Responsabilidade civil, DIREITO CIVIL, Indenização por Dano Moral, Responsabilidade da Administração,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