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BookAntiqua-bold.ttf" ContentType="application/x-font-ttf"/>
  <Override PartName="/word/fonts/BookAntiqua-boldItalic.ttf" ContentType="application/x-font-ttf"/>
  <Override PartName="/word/fonts/BookAntiqua-italic.ttf" ContentType="application/x-font-ttf"/>
  <Override PartName="/word/fonts/BookAntiqua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2E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Verifica-se que a questão objeto da controvérsia jurídica suscitada no recurso manejado pela parte recorrente esteve afetada no representativo da controvérsia 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Tema n.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highlight w:val="yellow"/>
          <w:rtl w:val="0"/>
        </w:rPr>
        <w:t>229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TNU - (PU no processo n.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PEDILEF 5003447-94.2017.4.04.7103/RS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),  afetado em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 xml:space="preserve"> 18/09/2019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foi julgado (trânsito em julgado em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4/2/2021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), por meio do qual foi elucidada a seguinte questão:</w:t>
      </w:r>
    </w:p>
    <w:p w:rsidR="00000000" w:rsidDel="00000000" w:rsidP="00000000" w:rsidRDefault="00000000" w:rsidRPr="00000000" w14:paraId="0000002F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  <w:rtl w:val="0"/>
        </w:rPr>
        <w:t>"Determinar o alcance da Lei nº 13.464/17, especialmente quanto à possibilidade de percepção de adicional noturno em relação ao exercente do cargo de Analista Tributário da Receita Federal."</w:t>
      </w:r>
    </w:p>
    <w:p w:rsidR="00000000" w:rsidDel="00000000" w:rsidP="00000000" w:rsidRDefault="00000000" w:rsidRPr="00000000" w14:paraId="00000030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Restou firmada a seguinte tese:</w:t>
      </w:r>
    </w:p>
    <w:p w:rsidR="00000000" w:rsidDel="00000000" w:rsidP="00000000" w:rsidRDefault="00000000" w:rsidRPr="00000000" w14:paraId="00000031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  <w:rtl w:val="0"/>
        </w:rPr>
        <w:t>"Na vigência da Medida Provisória nº 765, de 29/12/2016 - convertida na Lei n. 13.464/2017, o servidor público federal exercente do cargo de Analista Tributário da Receita Federal tem direito à percepção de adicional noturno, incidindo a regulamentação da Norma de Execução (NE) Cogep nº 2/18 apenas após a sua vigência, a partir de 16 de fevereiro de 2018." (Tema 229 TNU).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</w:r>
    </w:p>
    <w:p w:rsidR="00000000" w:rsidDel="00000000" w:rsidP="00000000" w:rsidRDefault="00000000" w:rsidRPr="00000000" w14:paraId="00000032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Com efeito, depreende-se da leitura do voto condutor do acórdão que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highlight w:val="yellow"/>
          <w:rtl w:val="0"/>
        </w:rPr>
        <w:t>o mesmo se encontra em conformidade com o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 decidido no  tema pela TNU.</w:t>
      </w:r>
    </w:p>
    <w:p w:rsidR="00000000" w:rsidDel="00000000" w:rsidP="00000000" w:rsidRDefault="00000000" w:rsidRPr="00000000" w14:paraId="00000033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A proposito, consta do acordao hostilizado: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(...) Reajustes de Remuneração, Proventos ou Pensão, Servidor Público Civil, DIREITO ADMINISTRATIVO E OUTRAS MATÉRIAS DE DIREITO PÚBLICO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Nessas condições, o conteúdo do Acórdão recorrido é consentâneo com o entendimento da TNU, firmado em julgamento de recurso representativo de controvérsia, o que atrai a incidência da regra prevista pelo art. 14, III,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sz w:val="26"/>
          <w:szCs w:val="26"/>
          <w:rtl w:val="0"/>
        </w:rPr>
        <w:t>b,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Resolução CJF n. 586/2019:</w:t>
      </w:r>
    </w:p>
    <w:p w:rsidR="00000000" w:rsidDel="00000000" w:rsidP="00000000" w:rsidRDefault="00000000" w:rsidRPr="00000000" w14:paraId="00000035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>Art. 14.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Decorrido o prazo para contrarrazões, os autos serão conclusos ao magistrado responsável pelo exame preliminar de admissibilidade, que deverá, de forma sucessiva: (...)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 xml:space="preserve">III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- negar seguimento a pedido de uniformização de interpretação de lei federal interposto contra acórdão que esteja em conformidade com entendimento consolidado: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>b)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em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u w:val="single"/>
          <w:rtl w:val="0"/>
        </w:rPr>
        <w:t>recurso representativo de controvérsia pela Turma Nacional de Uniformização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ou em pedido de uniformização de interpretação de lei dirigido ao Superior Tribunal de Justiça;(...).</w:t>
      </w:r>
    </w:p>
    <w:p w:rsidR="00000000" w:rsidDel="00000000" w:rsidP="00000000" w:rsidRDefault="00000000" w:rsidRPr="00000000" w14:paraId="00000036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Posto isso, com arrimo no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u w:val="single"/>
          <w:rtl w:val="0"/>
        </w:rPr>
        <w:t xml:space="preserve">art. 14, III,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sz w:val="26"/>
          <w:szCs w:val="26"/>
          <w:u w:val="single"/>
          <w:rtl w:val="0"/>
        </w:rPr>
        <w:t>b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sz w:val="26"/>
          <w:szCs w:val="26"/>
          <w:rtl w:val="0"/>
        </w:rPr>
        <w:t>,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Resolução CJF n. 586/2019 c/c art. 1.030, I, do CPC,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NEGO SEGUIMENTO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>a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o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 PU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>.</w:t>
      </w:r>
    </w:p>
    <w:p w:rsidR="00000000" w:rsidDel="00000000" w:rsidP="00000000" w:rsidRDefault="00000000" w:rsidRPr="00000000" w14:paraId="00000037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Intimem-se. Aguarde-se o decurso do prazo recursal. Após, certifique-se o trânsito em julgado e devolva-se ao juízo de origem.</w:t>
      </w:r>
      <w:r w:rsidDel="00000000" w:rsidR="00000000" w:rsidRPr="00000000"/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Book Antiqu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rive.google.com/drive/folders/1METimKnzKK0ULSqE7UedO_5nH3JVJHt0" TargetMode="External"/><Relationship Id="rId7" Type="http://schemas.openxmlformats.org/officeDocument/2006/relationships/hyperlink" Target="https://docs.google.com/spreadsheets/d/1Mjmsh7iDH9Pdv7vV2IYMBhhOHuKVtkGlYzEh7ipgZ4g/edit?gid=923871152#gid=923871152" TargetMode="Externa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BookAntiqua-regular.ttf"/><Relationship Id="rId2" Type="http://schemas.openxmlformats.org/officeDocument/2006/relationships/font" Target="fonts/BookAntiqua-bold.ttf"/><Relationship Id="rId3" Type="http://schemas.openxmlformats.org/officeDocument/2006/relationships/font" Target="fonts/BookAntiqua-italic.ttf"/><Relationship Id="rId4" Type="http://schemas.openxmlformats.org/officeDocument/2006/relationships/font" Target="fonts/BookAntiqu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