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244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5002880-91.2016.4.04.7105/RS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06/11/2019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1413882/RS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auxílio-alimentação, pago em espécie e com habitualidade, por meio de vale-alimentação ou na forma de tickets, tem natureza salarial e integra o salário de contribuição para fins de cálculo da renda mensal inicial (RMI)."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"I) Anteriormente à vigência da Lei n. 13.416/2017, o auxílio-alimentação, pago em espécie e com habitualidade ou por meio de vale-alimentação/cartão ou tíquete-refeição/alimentação ou equivalente, integra a remuneração, constitui base de incidência da contribuição previdenciária patronal e do segurado, refletindo no cálculo da renda mensal inicial do benefício, esteja a empresa inscrita ou não no Programa de Alimentação do Trabalhador - PAT; II) A partir de 11/11/2017, com a vigência da Lei n. 13.416/2017, que conferiu nova redação ao § 2º do art. 457 da CLT, somente o pagamento do auxílio-alimentação em dinheiro integra a remuneração, constitui base de incidência da contribuição previdenciária patronal e do segurado, refletindo no cálculo da renda mensal inicial do benefício, esteja a empresa inscrita ou não no Programa de Alimentação do Trabalhador - PAT." (Tema 244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Benefício mínimo a partir da CF/88 (art. 201, §2º CF/88), RMI - Renda Mensal Inicial, RMI - Renda Mensal Inicial, Reajustes e Revisões Específicas, DIREITO PREVIDENCIÁRIO, Competência, Jurisdição e Competência,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