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0506200-37.2014.4.05.8200/PB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se, para a aplicação do interstício de 18 meses, previsto no art. 7º, § 2º, Lei n. 10.855/2004, para a promoção e progressão funcional na “carreira do seguro social” havia, ou não, a necessidade de regulamentação, conforme previsto no art. 8º da citada lei, com a redação que lhe foi dada pela Lei n. 11.501, de 2007."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"Para a aplicação do interstício de 18 meses, previsto no art. 7.º, §2º, da Lei n.º 10.855/2004, enquanto vigente a redação dada pela Lei n.º 11.501/2007, para a promoção e progressão funcional na carreira do seguro social, havia a necessidade de regulamentação, conforme previsto no art. 8.º da citada Lei." (Tema 271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Progressão Funcional com Interstício de Doze Meses, Promoção / Ascensão, Regime Estatutário,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