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260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5001444-88.2017.4.04.7129/RS PEDILEF 5059104-30.2017.4.04.7100/RS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1º/6/2020 - 5001444-88.2017.4.04.7129 1º/6/2020 - 5059104-30.2017.4.04.7100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22/11/2023 (no STJ, PUIL 2692 e PUIL 2693)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"Há situações que justificam a imposição de aditamento contratual, com ampliação do prazo de financiamento estudantil?"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"I. a modificação da base curricular de curso superior que importe em ampliação do curso, aprovada pelo MEC, garante a prorrogação do prazo contratual do financiamento estudantil (FIES). II. a transferência de curso não autoriza a prorrogação compulsória do contrato de financiamento estudantil." (Tema 260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Contratos Bancários, Espécies de contratos, Obrigações, DIREITO CIVIL, FIES, Programas de Bolsas e Financiamento Estudantil com Recursos Públicos, PERMANÊNCIA,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