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0504108- 62.2009.4.05.8200/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06/05/2011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12/09/2018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necessidade de renovação do requerimento administrativo para concessão de benefício assistencial."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ajuizamento de ações visando o recebimento do benefício previsto no art. 203, V, da Constituição Federal não exige a renovação bienal do requerimento administrativo, afastada a indevida analogia ao art. 21, da Lei n. 8.742/93. RE 914797 - DECISÃO STF: determino a devolução dos autos ao Juízo de origem para que seja observada a decisão do Supremo no precedente RE 631.240 - TEMA 350." (Tema 10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Salário-Família (Art. 65/70), Benefícios em Espécie, DIREITO PREVIDENCIÁRIO, Deficiente, Benefício Assistencial (Art. 203,V CF/88), DIREITO ASSISTENCIAL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