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0021992-38.2008.4.01.3600/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10/03/2017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natureza jurídica da Gratificação de Estímulo à Docência no Magistério Superior (GED) após a MP n. 208/2004 - se parcela remuneratória geral ou "pro labore faciendo" - para fins de equiparação da pontuação dos servidores ativos aos inativos."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Lei 11.087/05, resultante da conversão da Medida Provisória 208/2004, não modificou a natureza pro labore faciendo da GED, porquanto trouxe apenas alteração nos pontos a serem atribuídos a ativos e inativos, preservando-se a diferenciação estabelecida na Lei 9.784/1998, inclusive quanto aos servidores docentes cedidos." (PET 9600/STJ) Obs: O referido entendimento foi aplicado também à PET 9645/STJ, oriunda deste representativo." (Tema 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Superendividamento,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