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260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5001444-88.2017.4.04.7129/RS PEDILEF 5059104-30.2017.4.04.7100/RS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1º/6/2020 - 5001444-88.2017.4.04.7129 1º/6/2020 - 5059104-30.2017.4.04.7100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22/11/2023 (no STJ, PUIL 2692 e PUIL 2693)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"Há situações que justificam a imposição de aditamento contratual, com ampliação do prazo de financiamento estudantil?"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"I. a modificação da base curricular de curso superior que importe em ampliação do curso, aprovada pelo MEC, garante a prorrogação do prazo contratual do financiamento estudantil (FIES). II. a transferência de curso não autoriza a prorrogação compulsória do contrato de financiamento estudantil." (Tema 260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FIES, Programas de Bolsas e Financiamento Estudantil com Recursos Públicos, PERMANÊNCIA,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