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301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0501240-10.2020.4.05.8303/PE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17/03/2022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24/10/2022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se, à luz da exigência de que o período de exercício de atividade rural seja imediatamente anterior ao requerimento de benefício ou implemento da idade, ainda que descontínuo, conforme arts. 39, i, 48, §2º e 143, todos da Lei 8.213/91, o exercício de atividade urbana por mais de 120 dias, corridos ou intercalados, no ano civil, na vigência da Lei 11.718/2008, implica, além da perda da qualidade de segurado especial, ruptura do perfil de trabalhador rural e interrupção da contagem do tempo de atividade rural (carência), impedindo o somatório dos períodos de atividade campesina anterior e posterior ao vínculo urbano que extrapolou o limite legal, exigindo nova contagem integral do intervalo exigido por lei para a aposentadoria por idade rural pura."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"Cômputo do Tempo de Trabalho Rural I. Para a aposentadoria por idade do trabalhador rural não será considerada a perda da qualidade de segurado nos intervalos entre as atividades rurícolas. Descaracterização da condição de segurado especial II. A condição de segurado especial é descaracterizada a partir do 1º dia do mês seguinte ao da extrapolação dos 120 dias de atividade remunerada no ano civil (Lei 8.213/91, art. 11, § 9º, III); III. Cessada a atividade remunerada referida no item II e comprovado o retorno ao trabalho de segurado especial, na forma do art. 55, parag. 3o, da Lei 8.213/91, o trabalhador volta a se inserir imediatamente no VII, do art. 11 da Lei 8.213/91, ainda que no mesmo ano civil." (Tema 301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Aposentadoria por Tempo de Contribuição (Art. 55/6), Benefícios em Espécie, DIREITO PREVIDENCIÁRIO, Competência, Jurisdição e Competência, DIREITO PROCESSUAL CIVIL E DO TRABALHO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