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0501240-10.2020.4.05.8303/PE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17/03/2022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24/10/2022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à luz da exigência de que o período de exercício de atividade rural seja imediatamente anterior ao requerimento de benefício ou implemento da idade, ainda que descontínuo, conforme arts. 39, i, 48, §2º e 143, todos da Lei 8.213/91, o exercício de atividade urbana por mais de 120 dias, corridos ou intercalados, no ano civil, na vigência da Lei 11.718/2008, implica, além da perda da qualidade de segurado especial, ruptura do perfil de trabalhador rural e interrupção da contagem do tempo de atividade rural (carência), impedindo o somatório dos períodos de atividade campesina anterior e posterior ao vínculo urbano que extrapolou o limite legal, exigindo nova contagem integral do intervalo exigido por lei para a aposentadoria por idade rural pura."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"Cômputo do Tempo de Trabalho Rural I. Para a aposentadoria por idade do trabalhador rural não será considerada a perda da qualidade de segurado nos intervalos entre as atividades rurícolas. Descaracterização da condição de segurado especial II. A condição de segurado especial é descaracterizada a partir do 1º dia do mês seguinte ao da extrapolação dos 120 dias de atividade remunerada no ano civil (Lei 8.213/91, art. 11, § 9º, III); III. Cessada a atividade remunerada referida no item II e comprovado o retorno ao trabalho de segurado especial, na forma do art. 55, parag. 3o, da Lei 8.213/91, o trabalhador volta a se inserir imediatamente no VII, do art. 11 da Lei 8.213/91, ainda que no mesmo ano civil." (Tema 301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da Administração, DIREITO ADMINISTRATIVO E OUTRAS MATÉRIAS DE DIREITO PÚBLICO, Aposentadoria por Tempo de Contribuição (Art. 55/6),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