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0174754-83.2016.4.02.5167/RJ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23/11/2020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sob o enfoque do artigo 33 da Medida Provisória nº 2.215-10/2001, é possível a conversão em pecúnia de licença especial não gozada pelo militar e nem computada em dobro para fins de transferência para a inatividade remunerada, mas que fora utilizada para majoração do percentual de adicional de permanência, mediante a exclusão da respectiva licença especial da base de cálculo dessa vantagem, bem como a devida compensação dos valores já recebidos a esse título."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possível a conversão em pecúnia de licença especial não gozada pelo militar e nem computada em dobro para fins de transferência para a inatividade remunerada, mas que fora utilizada para majoração do percentual de adicional de permanência, mediante a exclusão da respectiva licença especial da base de cálculo dessa vantagem, bem como a devida compensação dos valores já recebidos a esse título." (Tema 222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