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Urbana (art. 42/44),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