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2E">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Verifica-se que a questão objeto da controvérsia jurídica suscitada no recurso manejado pela parte recorrente esteve afetada no representativo da controvérsia - </w:t>
      </w:r>
      <w:r w:rsidDel="00000000" w:rsidR="00000000" w:rsidRPr="00000000">
        <w:rPr>
          <w:rFonts w:ascii="Times New Roman" w:cs="Times New Roman" w:eastAsia="Times New Roman" w:hAnsi="Times New Roman"/>
          <w:b w:val="1"/>
          <w:bCs w:val="1"/>
          <w:color w:val="052229"/>
          <w:sz w:val="26"/>
          <w:szCs w:val="26"/>
          <w:rtl w:val="0"/>
        </w:rPr>
        <w:t xml:space="preserve">Tema n. </w:t>
      </w:r>
      <w:r w:rsidDel="00000000" w:rsidR="00000000" w:rsidRPr="00000000">
        <w:rPr>
          <w:rFonts w:ascii="Times New Roman" w:cs="Times New Roman" w:eastAsia="Times New Roman" w:hAnsi="Times New Roman"/>
          <w:b w:val="1"/>
          <w:bCs w:val="1"/>
          <w:color w:val="052229"/>
          <w:sz w:val="26"/>
          <w:szCs w:val="26"/>
          <w:highlight w:val="yellow"/>
          <w:rtl w:val="0"/>
        </w:rPr>
        <w:t>164</w:t>
      </w:r>
      <w:r w:rsidDel="00000000" w:rsidR="00000000" w:rsidRPr="00000000">
        <w:rPr>
          <w:rFonts w:ascii="Times New Roman" w:cs="Times New Roman" w:eastAsia="Times New Roman" w:hAnsi="Times New Roman"/>
          <w:color w:val="052229"/>
          <w:sz w:val="26"/>
          <w:szCs w:val="26"/>
          <w:rtl w:val="0"/>
        </w:rPr>
        <w:t xml:space="preserve"> da TNU - (PU no processo n. </w:t>
      </w:r>
      <w:r w:rsidDel="00000000" w:rsidR="00000000" w:rsidRPr="00000000">
        <w:rPr>
          <w:rFonts w:ascii="Times New Roman" w:cs="Times New Roman" w:eastAsia="Times New Roman" w:hAnsi="Times New Roman"/>
          <w:color w:val="052229"/>
          <w:sz w:val="26"/>
          <w:szCs w:val="26"/>
          <w:highlight w:val="yellow"/>
          <w:rtl w:val="0"/>
        </w:rPr>
        <w:t>PEDILEF 0500774-49.2016.4.05.8305/PE</w:t>
      </w:r>
      <w:r w:rsidDel="00000000" w:rsidR="00000000" w:rsidRPr="00000000">
        <w:rPr>
          <w:rFonts w:ascii="Times New Roman" w:cs="Times New Roman" w:eastAsia="Times New Roman" w:hAnsi="Times New Roman"/>
          <w:color w:val="052229"/>
          <w:sz w:val="26"/>
          <w:szCs w:val="26"/>
          <w:rtl w:val="0"/>
        </w:rPr>
        <w:t>),  afetado em</w:t>
      </w:r>
      <w:r w:rsidDel="00000000" w:rsidR="00000000" w:rsidRPr="00000000">
        <w:rPr>
          <w:rFonts w:ascii="Times New Roman" w:cs="Times New Roman" w:eastAsia="Times New Roman" w:hAnsi="Times New Roman"/>
          <w:color w:val="052229"/>
          <w:sz w:val="26"/>
          <w:szCs w:val="26"/>
          <w:highlight w:val="yellow"/>
          <w:rtl w:val="0"/>
        </w:rPr>
        <w:t xml:space="preserve"> 24/02/2017</w:t>
      </w:r>
      <w:r w:rsidDel="00000000" w:rsidR="00000000" w:rsidRPr="00000000">
        <w:rPr>
          <w:rFonts w:ascii="Times New Roman" w:cs="Times New Roman" w:eastAsia="Times New Roman" w:hAnsi="Times New Roman"/>
          <w:color w:val="052229"/>
          <w:sz w:val="26"/>
          <w:szCs w:val="26"/>
          <w:rtl w:val="0"/>
        </w:rPr>
        <w:t xml:space="preserve"> foi julgado (trânsito em julgado em </w:t>
      </w:r>
      <w:r w:rsidDel="00000000" w:rsidR="00000000" w:rsidRPr="00000000">
        <w:rPr>
          <w:rFonts w:ascii="Times New Roman" w:cs="Times New Roman" w:eastAsia="Times New Roman" w:hAnsi="Times New Roman"/>
          <w:color w:val="052229"/>
          <w:sz w:val="26"/>
          <w:szCs w:val="26"/>
          <w:highlight w:val="yellow"/>
          <w:rtl w:val="0"/>
        </w:rPr>
        <w:t>02/10/2018</w:t>
      </w:r>
      <w:r w:rsidDel="00000000" w:rsidR="00000000" w:rsidRPr="00000000">
        <w:rPr>
          <w:rFonts w:ascii="Times New Roman" w:cs="Times New Roman" w:eastAsia="Times New Roman" w:hAnsi="Times New Roman"/>
          <w:color w:val="052229"/>
          <w:sz w:val="26"/>
          <w:szCs w:val="26"/>
          <w:rtl w:val="0"/>
        </w:rPr>
        <w:t>), por meio do qual foi elucidada a seguinte questão:</w:t>
      </w:r>
    </w:p>
    <w:p w:rsidR="00000000" w:rsidDel="00000000" w:rsidP="00000000" w:rsidRDefault="00000000" w:rsidRPr="00000000" w14:paraId="0000002F">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"Saber quais são os reflexos das novas regras constantes na MP nº 739/2016 (§§ 8º e 9º do art. 60 da Lei 8.213/1991) na fixação da data de cessação do benefício auxílio-doença e da exigência, quando for o caso, do pedido de prorrogação, bem como se são aplicáveis aos benefícios concedidos e às demandas ajuizadas em momento anterior à sua vigência."</w:t>
      </w:r>
    </w:p>
    <w:p w:rsidR="00000000" w:rsidDel="00000000" w:rsidP="00000000" w:rsidRDefault="00000000" w:rsidRPr="00000000" w14:paraId="00000030">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Restou firmada a seguinte tese:</w:t>
      </w:r>
    </w:p>
    <w:p w:rsidR="00000000" w:rsidDel="00000000" w:rsidP="00000000" w:rsidRDefault="00000000" w:rsidRPr="00000000" w14:paraId="00000031">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"Por não vislumbrar ilegalidade na fixação de data estimada para a cessação do auxílio-doença, ou mesmo na convocação do segurado para nova avaliação da persistência das condições que levaram à concessão do benefício na via judicial, a Turma Nacional de Uniformização, por unanimidade, firmou as seguintes teses: a) os benefícios de auxílio-doença concedidos judicial ou administrativamente, sem Data de Cessação de Benefício (DCB), ainda que anteriormente à edição da MP nº 739/2016, podem ser objeto de revisão administrativa, na forma e prazos previstos em lei e demais normas que regulamentam a matéria, por meio de prévia convocação dos segurados pelo INSS, para avaliar se persistem os motivos de concessão do benefício; b) os benefícios concedidos, reativados ou prorrogados posteriormente à publicação da MP nº 767/2017, convertida na Lei n.º 13.457/17, devem, nos termos da lei, ter a sua DCB fixada, sendo desnecessária, nesses casos, a realização de nova perícia para a cessação do benefício; c) em qualquer caso, o segurado poderá pedir a prorrogação do benefício, com garantia de pagamento até a realização da perícia médica." (Tema 164 TNU).</w:t>
      </w:r>
      <w:r w:rsidDel="00000000" w:rsidR="00000000" w:rsidRPr="00000000">
        <w:rPr>
          <w:rFonts w:ascii="Times New Roman" w:cs="Times New Roman" w:eastAsia="Times New Roman" w:hAnsi="Times New Roman"/>
          <w:b w:val="1"/>
          <w:bCs w:val="1"/>
          <w:i w:val="1"/>
          <w:iCs w:val="1"/>
          <w:color w:val="052229"/>
          <w:rtl w:val="0"/>
        </w:rPr>
      </w:r>
      <w:r w:rsidDel="00000000" w:rsidR="00000000" w:rsidRPr="00000000">
        <w:rPr>
          <w:rFonts w:ascii="Times New Roman" w:cs="Times New Roman" w:eastAsia="Times New Roman" w:hAnsi="Times New Roman"/>
          <w:i w:val="1"/>
          <w:iCs w:val="1"/>
          <w:color w:val="052229"/>
          <w:rtl w:val="0"/>
        </w:rPr>
      </w:r>
    </w:p>
    <w:p w:rsidR="00000000" w:rsidDel="00000000" w:rsidP="00000000" w:rsidRDefault="00000000" w:rsidRPr="00000000" w14:paraId="00000032">
      <w:pPr>
        <w:spacing w:after="280" w:before="280" w:line="288" w:lineRule="auto"/>
        <w:ind w:right="20" w:firstLine="20"/>
        <w:jc w:val="both"/>
        <w:rPr>
          <w:rFonts w:ascii="Times New Roman" w:cs="Times New Roman" w:eastAsia="Times New Roman" w:hAnsi="Times New Roman"/>
          <w:color w:val="052229"/>
          <w:sz w:val="24"/>
          <w:szCs w:val="24"/>
        </w:rPr>
      </w:pPr>
      <w:r w:rsidDel="00000000" w:rsidR="00000000" w:rsidRPr="00000000">
        <w:rPr>
          <w:rFonts w:ascii="Times New Roman" w:cs="Times New Roman" w:eastAsia="Times New Roman" w:hAnsi="Times New Roman"/>
          <w:color w:val="052229"/>
          <w:sz w:val="24"/>
          <w:szCs w:val="24"/>
          <w:rtl w:val="0"/>
        </w:rPr>
        <w:t xml:space="preserve">Com efeito, depreende-se da leitura do voto condutor do acórdão que </w:t>
      </w:r>
      <w:r w:rsidDel="00000000" w:rsidR="00000000" w:rsidRPr="00000000">
        <w:rPr>
          <w:rFonts w:ascii="Times New Roman" w:cs="Times New Roman" w:eastAsia="Times New Roman" w:hAnsi="Times New Roman"/>
          <w:color w:val="052229"/>
          <w:sz w:val="24"/>
          <w:szCs w:val="24"/>
          <w:highlight w:val="yellow"/>
          <w:rtl w:val="0"/>
        </w:rPr>
        <w:t>o mesmo se encontra em conformidade com o</w:t>
      </w:r>
      <w:r w:rsidDel="00000000" w:rsidR="00000000" w:rsidRPr="00000000">
        <w:rPr>
          <w:rFonts w:ascii="Times New Roman" w:cs="Times New Roman" w:eastAsia="Times New Roman" w:hAnsi="Times New Roman"/>
          <w:color w:val="052229"/>
          <w:sz w:val="24"/>
          <w:szCs w:val="24"/>
          <w:rtl w:val="0"/>
        </w:rPr>
        <w:t xml:space="preserve"> decidido no  tema pela TNU.</w:t>
      </w:r>
    </w:p>
    <w:p w:rsidR="00000000" w:rsidDel="00000000" w:rsidP="00000000" w:rsidRDefault="00000000" w:rsidRPr="00000000" w14:paraId="00000033">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A proposito, consta do acordao hostilizado: </w:t>
      </w:r>
      <w:r w:rsidDel="00000000" w:rsidR="00000000" w:rsidRPr="00000000">
        <w:rPr>
          <w:rFonts w:ascii="Times New Roman" w:cs="Times New Roman" w:eastAsia="Times New Roman" w:hAnsi="Times New Roman"/>
          <w:color w:val="052229"/>
          <w:sz w:val="26"/>
          <w:szCs w:val="26"/>
          <w:highlight w:val="yellow"/>
          <w:rtl w:val="0"/>
        </w:rPr>
        <w:t>(...) Rural (art. 59/63), Auxílio-Doença Previdenciário, Benefícios em Espécie, DIREITO PREVIDENCIÁRIO, Concessão, Pedidos Genéricos Relativos aos Benefícios em Espécie, DIREITO PREVIDENCIÁRIO, Parcelas de benefício não pagas, Pedidos Genéricos Relativos aos Benefícios em Espécie, DIREITO PREVIDENCIÁRIO</w:t>
      </w:r>
      <w:r w:rsidDel="00000000" w:rsidR="00000000" w:rsidRPr="00000000">
        <w:rPr>
          <w:rtl w:val="0"/>
        </w:rPr>
      </w:r>
    </w:p>
    <w:p w:rsidR="00000000" w:rsidDel="00000000" w:rsidP="00000000" w:rsidRDefault="00000000" w:rsidRPr="00000000" w14:paraId="00000034">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Nessas condições, o conteúdo do Acórdão recorrido é consentâneo com o entendimento da TNU, firmado em julgamento de recurso representativo de controvérsia, o que atrai a incidência da regra prevista pelo art. 14, III, </w:t>
      </w:r>
      <w:r w:rsidDel="00000000" w:rsidR="00000000" w:rsidRPr="00000000">
        <w:rPr>
          <w:rFonts w:ascii="Times New Roman" w:cs="Times New Roman" w:eastAsia="Times New Roman" w:hAnsi="Times New Roman"/>
          <w:i w:val="1"/>
          <w:iCs w:val="1"/>
          <w:color w:val="052229"/>
          <w:sz w:val="26"/>
          <w:szCs w:val="26"/>
          <w:rtl w:val="0"/>
        </w:rPr>
        <w:t>b,</w:t>
      </w:r>
      <w:r w:rsidDel="00000000" w:rsidR="00000000" w:rsidRPr="00000000">
        <w:rPr>
          <w:rFonts w:ascii="Times New Roman" w:cs="Times New Roman" w:eastAsia="Times New Roman" w:hAnsi="Times New Roman"/>
          <w:color w:val="052229"/>
          <w:sz w:val="26"/>
          <w:szCs w:val="26"/>
          <w:rtl w:val="0"/>
        </w:rPr>
        <w:t xml:space="preserve"> da Resolução CJF n. 586/2019:</w:t>
      </w:r>
    </w:p>
    <w:p w:rsidR="00000000" w:rsidDel="00000000" w:rsidP="00000000" w:rsidRDefault="00000000" w:rsidRPr="00000000" w14:paraId="00000035">
      <w:pPr>
        <w:spacing w:after="280" w:before="280" w:line="240" w:lineRule="auto"/>
        <w:ind w:left="2267.716535433071" w:firstLine="0"/>
        <w:jc w:val="both"/>
        <w:rPr>
          <w:rFonts w:ascii="Times New Roman" w:cs="Times New Roman" w:eastAsia="Times New Roman" w:hAnsi="Times New Roman"/>
          <w:i w:val="1"/>
          <w:iCs w:val="1"/>
          <w:color w:val="052229"/>
        </w:rPr>
      </w:pPr>
      <w:r w:rsidDel="00000000" w:rsidR="00000000" w:rsidRPr="00000000">
        <w:rPr>
          <w:rFonts w:ascii="Times New Roman" w:cs="Times New Roman" w:eastAsia="Times New Roman" w:hAnsi="Times New Roman"/>
          <w:b w:val="1"/>
          <w:bCs w:val="1"/>
          <w:i w:val="1"/>
          <w:iCs w:val="1"/>
          <w:color w:val="052229"/>
          <w:rtl w:val="0"/>
        </w:rPr>
        <w:t>Art. 14.</w:t>
      </w:r>
      <w:r w:rsidDel="00000000" w:rsidR="00000000" w:rsidRPr="00000000">
        <w:rPr>
          <w:rFonts w:ascii="Times New Roman" w:cs="Times New Roman" w:eastAsia="Times New Roman" w:hAnsi="Times New Roman"/>
          <w:i w:val="1"/>
          <w:iCs w:val="1"/>
          <w:color w:val="052229"/>
          <w:rtl w:val="0"/>
        </w:rPr>
        <w:t xml:space="preserve"> Decorrido o prazo para contrarrazões, os autos serão conclusos ao magistrado responsável pelo exame preliminar de admissibilidade, que deverá, de forma sucessiva: (...) </w:t>
      </w:r>
      <w:r w:rsidDel="00000000" w:rsidR="00000000" w:rsidRPr="00000000">
        <w:rPr>
          <w:rFonts w:ascii="Times New Roman" w:cs="Times New Roman" w:eastAsia="Times New Roman" w:hAnsi="Times New Roman"/>
          <w:b w:val="1"/>
          <w:bCs w:val="1"/>
          <w:i w:val="1"/>
          <w:iCs w:val="1"/>
          <w:color w:val="052229"/>
          <w:rtl w:val="0"/>
        </w:rPr>
        <w:t xml:space="preserve">III </w:t>
      </w:r>
      <w:r w:rsidDel="00000000" w:rsidR="00000000" w:rsidRPr="00000000">
        <w:rPr>
          <w:rFonts w:ascii="Times New Roman" w:cs="Times New Roman" w:eastAsia="Times New Roman" w:hAnsi="Times New Roman"/>
          <w:i w:val="1"/>
          <w:iCs w:val="1"/>
          <w:color w:val="052229"/>
          <w:rtl w:val="0"/>
        </w:rPr>
        <w:t xml:space="preserve">- negar seguimento a pedido de uniformização de interpretação de lei federal interposto contra acórdão que esteja em conformidade com entendimento consolidado: </w:t>
      </w:r>
      <w:r w:rsidDel="00000000" w:rsidR="00000000" w:rsidRPr="00000000">
        <w:rPr>
          <w:rFonts w:ascii="Times New Roman" w:cs="Times New Roman" w:eastAsia="Times New Roman" w:hAnsi="Times New Roman"/>
          <w:b w:val="1"/>
          <w:bCs w:val="1"/>
          <w:i w:val="1"/>
          <w:iCs w:val="1"/>
          <w:color w:val="052229"/>
          <w:rtl w:val="0"/>
        </w:rPr>
        <w:t>b)</w:t>
      </w:r>
      <w:r w:rsidDel="00000000" w:rsidR="00000000" w:rsidRPr="00000000">
        <w:rPr>
          <w:rFonts w:ascii="Times New Roman" w:cs="Times New Roman" w:eastAsia="Times New Roman" w:hAnsi="Times New Roman"/>
          <w:i w:val="1"/>
          <w:iCs w:val="1"/>
          <w:color w:val="052229"/>
          <w:rtl w:val="0"/>
        </w:rPr>
        <w:t xml:space="preserve"> em </w:t>
      </w:r>
      <w:r w:rsidDel="00000000" w:rsidR="00000000" w:rsidRPr="00000000">
        <w:rPr>
          <w:rFonts w:ascii="Times New Roman" w:cs="Times New Roman" w:eastAsia="Times New Roman" w:hAnsi="Times New Roman"/>
          <w:b w:val="1"/>
          <w:bCs w:val="1"/>
          <w:i w:val="1"/>
          <w:iCs w:val="1"/>
          <w:color w:val="052229"/>
          <w:u w:val="single"/>
          <w:rtl w:val="0"/>
        </w:rPr>
        <w:t>recurso representativo de controvérsia pela Turma Nacional de Uniformização</w:t>
      </w:r>
      <w:r w:rsidDel="00000000" w:rsidR="00000000" w:rsidRPr="00000000">
        <w:rPr>
          <w:rFonts w:ascii="Times New Roman" w:cs="Times New Roman" w:eastAsia="Times New Roman" w:hAnsi="Times New Roman"/>
          <w:i w:val="1"/>
          <w:iCs w:val="1"/>
          <w:color w:val="052229"/>
          <w:rtl w:val="0"/>
        </w:rPr>
        <w:t xml:space="preserve"> ou em pedido de uniformização de interpretação de lei dirigido ao Superior Tribunal de Justiça;(...).</w:t>
      </w:r>
    </w:p>
    <w:p w:rsidR="00000000" w:rsidDel="00000000" w:rsidP="00000000" w:rsidRDefault="00000000" w:rsidRPr="00000000" w14:paraId="00000036">
      <w:pPr>
        <w:spacing w:after="280" w:before="280" w:lineRule="auto"/>
        <w:ind w:right="20" w:firstLine="20"/>
        <w:jc w:val="both"/>
        <w:rPr>
          <w:rFonts w:ascii="Times New Roman" w:cs="Times New Roman" w:eastAsia="Times New Roman" w:hAnsi="Times New Roman"/>
          <w:b w:val="1"/>
          <w:bCs w:val="1"/>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Posto isso, com arrimo no </w:t>
      </w:r>
      <w:r w:rsidDel="00000000" w:rsidR="00000000" w:rsidRPr="00000000">
        <w:rPr>
          <w:rFonts w:ascii="Times New Roman" w:cs="Times New Roman" w:eastAsia="Times New Roman" w:hAnsi="Times New Roman"/>
          <w:b w:val="1"/>
          <w:bCs w:val="1"/>
          <w:color w:val="052229"/>
          <w:sz w:val="26"/>
          <w:szCs w:val="26"/>
          <w:u w:val="single"/>
          <w:rtl w:val="0"/>
        </w:rPr>
        <w:t xml:space="preserve">art. 14, III, </w:t>
      </w:r>
      <w:r w:rsidDel="00000000" w:rsidR="00000000" w:rsidRPr="00000000">
        <w:rPr>
          <w:rFonts w:ascii="Times New Roman" w:cs="Times New Roman" w:eastAsia="Times New Roman" w:hAnsi="Times New Roman"/>
          <w:b w:val="1"/>
          <w:bCs w:val="1"/>
          <w:i w:val="1"/>
          <w:iCs w:val="1"/>
          <w:color w:val="052229"/>
          <w:sz w:val="26"/>
          <w:szCs w:val="26"/>
          <w:u w:val="single"/>
          <w:rtl w:val="0"/>
        </w:rPr>
        <w:t>b</w:t>
      </w:r>
      <w:r w:rsidDel="00000000" w:rsidR="00000000" w:rsidRPr="00000000">
        <w:rPr>
          <w:rFonts w:ascii="Times New Roman" w:cs="Times New Roman" w:eastAsia="Times New Roman" w:hAnsi="Times New Roman"/>
          <w:i w:val="1"/>
          <w:iCs w:val="1"/>
          <w:color w:val="052229"/>
          <w:sz w:val="26"/>
          <w:szCs w:val="26"/>
          <w:rtl w:val="0"/>
        </w:rPr>
        <w:t>,</w:t>
      </w:r>
      <w:r w:rsidDel="00000000" w:rsidR="00000000" w:rsidRPr="00000000">
        <w:rPr>
          <w:rFonts w:ascii="Times New Roman" w:cs="Times New Roman" w:eastAsia="Times New Roman" w:hAnsi="Times New Roman"/>
          <w:color w:val="052229"/>
          <w:sz w:val="26"/>
          <w:szCs w:val="26"/>
          <w:rtl w:val="0"/>
        </w:rPr>
        <w:t xml:space="preserve"> da Resolução CJF n. 586/2019 c/c art. 1.030, I, do CPC, </w:t>
      </w:r>
      <w:r w:rsidDel="00000000" w:rsidR="00000000" w:rsidRPr="00000000">
        <w:rPr>
          <w:rFonts w:ascii="Times New Roman" w:cs="Times New Roman" w:eastAsia="Times New Roman" w:hAnsi="Times New Roman"/>
          <w:b w:val="1"/>
          <w:bCs w:val="1"/>
          <w:color w:val="052229"/>
          <w:sz w:val="26"/>
          <w:szCs w:val="26"/>
          <w:rtl w:val="0"/>
        </w:rPr>
        <w:t xml:space="preserve">NEGO SEGUIMENTO </w:t>
      </w:r>
      <w:r w:rsidDel="00000000" w:rsidR="00000000" w:rsidRPr="00000000">
        <w:rPr>
          <w:rFonts w:ascii="Times New Roman" w:cs="Times New Roman" w:eastAsia="Times New Roman" w:hAnsi="Times New Roman"/>
          <w:b w:val="1"/>
          <w:bCs w:val="1"/>
          <w:color w:val="052229"/>
          <w:sz w:val="26"/>
          <w:szCs w:val="26"/>
          <w:rtl w:val="0"/>
        </w:rPr>
        <w:t>a</w:t>
      </w:r>
      <w:r w:rsidDel="00000000" w:rsidR="00000000" w:rsidRPr="00000000">
        <w:rPr>
          <w:rFonts w:ascii="Times New Roman" w:cs="Times New Roman" w:eastAsia="Times New Roman" w:hAnsi="Times New Roman"/>
          <w:color w:val="052229"/>
          <w:sz w:val="26"/>
          <w:szCs w:val="26"/>
          <w:rtl w:val="0"/>
        </w:rPr>
        <w:t>o</w:t>
      </w:r>
      <w:r w:rsidDel="00000000" w:rsidR="00000000" w:rsidRPr="00000000">
        <w:rPr>
          <w:rFonts w:ascii="Times New Roman" w:cs="Times New Roman" w:eastAsia="Times New Roman" w:hAnsi="Times New Roman"/>
          <w:b w:val="1"/>
          <w:bCs w:val="1"/>
          <w:color w:val="052229"/>
          <w:sz w:val="26"/>
          <w:szCs w:val="26"/>
          <w:rtl w:val="0"/>
        </w:rPr>
        <w:t xml:space="preserve"> PU</w:t>
      </w:r>
      <w:r w:rsidDel="00000000" w:rsidR="00000000" w:rsidRPr="00000000">
        <w:rPr>
          <w:rFonts w:ascii="Times New Roman" w:cs="Times New Roman" w:eastAsia="Times New Roman" w:hAnsi="Times New Roman"/>
          <w:b w:val="1"/>
          <w:bCs w:val="1"/>
          <w:color w:val="052229"/>
          <w:sz w:val="26"/>
          <w:szCs w:val="26"/>
          <w:rtl w:val="0"/>
        </w:rPr>
        <w:t>.</w:t>
      </w:r>
    </w:p>
    <w:p w:rsidR="00000000" w:rsidDel="00000000" w:rsidP="00000000" w:rsidRDefault="00000000" w:rsidRPr="00000000" w14:paraId="00000037">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Intimem-se. Aguarde-se o decurso do prazo recursal. Após, certifique-se o trânsito em julgado e devolva-se ao juízo de origem.</w:t>
      </w:r>
      <w:r w:rsidDel="00000000" w:rsidR="00000000" w:rsidRPr="00000000"/>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METimKnzKK0ULSqE7UedO_5nH3JVJHt0" TargetMode="External"/><Relationship Id="rId7" Type="http://schemas.openxmlformats.org/officeDocument/2006/relationships/hyperlink" Target="https://docs.google.com/spreadsheets/d/1Mjmsh7iDH9Pdv7vV2IYMBhhOHuKVtkGlYzEh7ipgZ4g/edit?gid=923871152#gid=9238711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