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5012755-25.2015.4.04.7201/SC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01/06/2017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1º/9/2020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segurado que exerce atividades em condições especiais, quando em gozo do benefício por incapacidade, faz jus ou não ao cômputo de tal intervalo como especial."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período de auxílio-doença de natureza previdenciária, independente de comprovação da relação da moléstia com a atividade profissional do segurado, deve ser considerado como tempo especial quando trabalhador exercia atividade especial antes do afastamento. Tese no mesmo sentido do Tema 998/STJ: O Segurado que exerce atividades em condições especiais, quando em gozo de auxílio-doença, seja acidentário ou previdenciário, faz jus ao cômputo desse mesmo período como tempo de serviço especial. Obs.: com base no § 1º do art. 1.036 do CPC, foi admitido como representativo de controvérsia o recurso extraordinário interposto contra acórdão proferido no julgamento do Recurso Especial n. 1.723.181/RS (Tema Repetitivo n. 998/STJ). OBS: O STF, no julgamento do Tema 1107 (RE 1279819), decidiu que não há repercussão geral acerca da matéria." (Tema 165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Urbano (art. 60),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