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2E">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Verifica-se que a questão objeto da controvérsia jurídica suscitada no recurso manejado pela parte recorrente esteve afetada no representativo da controvérsia - </w:t>
      </w:r>
      <w:r w:rsidDel="00000000" w:rsidR="00000000" w:rsidRPr="00000000">
        <w:rPr>
          <w:rFonts w:ascii="Times New Roman" w:cs="Times New Roman" w:eastAsia="Times New Roman" w:hAnsi="Times New Roman"/>
          <w:b w:val="1"/>
          <w:bCs w:val="1"/>
          <w:color w:val="052229"/>
          <w:sz w:val="26"/>
          <w:szCs w:val="26"/>
          <w:rtl w:val="0"/>
        </w:rPr>
        <w:t xml:space="preserve">Tema n. </w:t>
      </w:r>
      <w:r w:rsidDel="00000000" w:rsidR="00000000" w:rsidRPr="00000000">
        <w:rPr>
          <w:rFonts w:ascii="Times New Roman" w:cs="Times New Roman" w:eastAsia="Times New Roman" w:hAnsi="Times New Roman"/>
          <w:b w:val="1"/>
          <w:bCs w:val="1"/>
          <w:color w:val="052229"/>
          <w:sz w:val="26"/>
          <w:szCs w:val="26"/>
          <w:highlight w:val="yellow"/>
          <w:rtl w:val="0"/>
        </w:rPr>
        <w:t>331</w:t>
      </w:r>
      <w:r w:rsidDel="00000000" w:rsidR="00000000" w:rsidRPr="00000000">
        <w:rPr>
          <w:rFonts w:ascii="Times New Roman" w:cs="Times New Roman" w:eastAsia="Times New Roman" w:hAnsi="Times New Roman"/>
          <w:color w:val="052229"/>
          <w:sz w:val="26"/>
          <w:szCs w:val="26"/>
          <w:rtl w:val="0"/>
        </w:rPr>
        <w:t xml:space="preserve"> da TNU - (PU no processo n. </w:t>
      </w:r>
      <w:r w:rsidDel="00000000" w:rsidR="00000000" w:rsidRPr="00000000">
        <w:rPr>
          <w:rFonts w:ascii="Times New Roman" w:cs="Times New Roman" w:eastAsia="Times New Roman" w:hAnsi="Times New Roman"/>
          <w:color w:val="052229"/>
          <w:sz w:val="26"/>
          <w:szCs w:val="26"/>
          <w:highlight w:val="yellow"/>
          <w:rtl w:val="0"/>
        </w:rPr>
        <w:t>PEDILEF 5008761-19.2020.4.04.7102/RS</w:t>
      </w:r>
      <w:r w:rsidDel="00000000" w:rsidR="00000000" w:rsidRPr="00000000">
        <w:rPr>
          <w:rFonts w:ascii="Times New Roman" w:cs="Times New Roman" w:eastAsia="Times New Roman" w:hAnsi="Times New Roman"/>
          <w:color w:val="052229"/>
          <w:sz w:val="26"/>
          <w:szCs w:val="26"/>
          <w:rtl w:val="0"/>
        </w:rPr>
        <w:t>),  afetado em</w:t>
      </w:r>
      <w:r w:rsidDel="00000000" w:rsidR="00000000" w:rsidRPr="00000000">
        <w:rPr>
          <w:rFonts w:ascii="Times New Roman" w:cs="Times New Roman" w:eastAsia="Times New Roman" w:hAnsi="Times New Roman"/>
          <w:color w:val="052229"/>
          <w:sz w:val="26"/>
          <w:szCs w:val="26"/>
          <w:highlight w:val="yellow"/>
          <w:rtl w:val="0"/>
        </w:rPr>
        <w:t xml:space="preserve"> 14/06/2023</w:t>
      </w:r>
      <w:r w:rsidDel="00000000" w:rsidR="00000000" w:rsidRPr="00000000">
        <w:rPr>
          <w:rFonts w:ascii="Times New Roman" w:cs="Times New Roman" w:eastAsia="Times New Roman" w:hAnsi="Times New Roman"/>
          <w:color w:val="052229"/>
          <w:sz w:val="26"/>
          <w:szCs w:val="26"/>
          <w:rtl w:val="0"/>
        </w:rPr>
        <w:t xml:space="preserve"> foi julgado (trânsito em julgado em </w:t>
      </w:r>
      <w:r w:rsidDel="00000000" w:rsidR="00000000" w:rsidRPr="00000000">
        <w:rPr>
          <w:rFonts w:ascii="Times New Roman" w:cs="Times New Roman" w:eastAsia="Times New Roman" w:hAnsi="Times New Roman"/>
          <w:color w:val="052229"/>
          <w:sz w:val="26"/>
          <w:szCs w:val="26"/>
          <w:highlight w:val="yellow"/>
          <w:rtl w:val="0"/>
        </w:rPr>
        <w:t>13/09/2024</w:t>
      </w:r>
      <w:r w:rsidDel="00000000" w:rsidR="00000000" w:rsidRPr="00000000">
        <w:rPr>
          <w:rFonts w:ascii="Times New Roman" w:cs="Times New Roman" w:eastAsia="Times New Roman" w:hAnsi="Times New Roman"/>
          <w:color w:val="052229"/>
          <w:sz w:val="26"/>
          <w:szCs w:val="26"/>
          <w:rtl w:val="0"/>
        </w:rPr>
        <w:t>), por meio do qual foi elucidada a seguinte questão:</w:t>
      </w:r>
    </w:p>
    <w:p w:rsidR="00000000" w:rsidDel="00000000" w:rsidP="00000000" w:rsidRDefault="00000000" w:rsidRPr="00000000" w14:paraId="0000002F">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"Determinar se, no caso de movimentações bancárias fraudulentas realizadas por terceiro, mediante uso de cartão magnético e senha pessoal do correntista, pode caracterizar falha de segurança do banco, apta a afastar a excludente de responsabilidade do art. 14, § 3º, inciso II, do Código de Defesa do Consumidor, a ausência de verificação da autenticidade das referidas movimentações, quando atípicas e/ou suspeitas em relação ao perfil do correntista."</w:t>
      </w:r>
    </w:p>
    <w:p w:rsidR="00000000" w:rsidDel="00000000" w:rsidP="00000000" w:rsidRDefault="00000000" w:rsidRPr="00000000" w14:paraId="00000030">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Restou firmada a seguinte tese:</w:t>
      </w:r>
    </w:p>
    <w:p w:rsidR="00000000" w:rsidDel="00000000" w:rsidP="00000000" w:rsidRDefault="00000000" w:rsidRPr="00000000" w14:paraId="00000031">
      <w:pPr>
        <w:spacing w:after="280" w:before="280" w:line="240" w:lineRule="auto"/>
        <w:ind w:left="2267.716535433071" w:firstLine="0"/>
        <w:jc w:val="both"/>
        <w:rPr>
          <w:rFonts w:ascii="Times New Roman" w:cs="Times New Roman" w:eastAsia="Times New Roman" w:hAnsi="Times New Roman"/>
          <w:i w:val="1"/>
          <w:iCs w:val="1"/>
          <w:color w:val="052229"/>
          <w:highlight w:val="yellow"/>
        </w:rPr>
      </w:pPr>
      <w:r w:rsidDel="00000000" w:rsidR="00000000" w:rsidRPr="00000000">
        <w:rPr>
          <w:rFonts w:ascii="Times New Roman" w:cs="Times New Roman" w:eastAsia="Times New Roman" w:hAnsi="Times New Roman"/>
          <w:i w:val="1"/>
          <w:iCs w:val="1"/>
          <w:color w:val="052229"/>
          <w:highlight w:val="yellow"/>
          <w:rtl w:val="0"/>
        </w:rPr>
        <w:t>"1. O uso indevido de cartão de débito ou crédito por terceiro, mediante fraude, constitui, em regra, fortuito interno para os fins da Súmula 479/STJ, salvo se comprovada culpa exclusiva do consumidor ou de terceiro (art. 14, § 3º, inciso II, do Código de Defesa do Consumidor). 2. Em princípio, a realização de operação com o uso de cartão e senha descaracteriza a responsabilidade do banco por configurar quebra do dever contratual de cuidado do cliente. 3. Todavia, não se configura a excludente de responsabilidade se, independentemente de prévia comunicação da ocorrência pelo titular do cartão, (i) as circunstâncias em que as operações foram realizadas e o perfil do consumidor revelarem fortes indícios de fraude detectáveis pelo banco; ou (ii) não restar claramente demonstrado o descumprimento consciente, pelo consumidor, do dever contratual de cuidado no uso do cartão, seja em razão do grau de sofisticação dos meios de engenharia social empregados pelos fraudadores, seja pela condição de hipervulnerabilidade da vítima." (Tema 331 TNU).</w:t>
      </w:r>
      <w:r w:rsidDel="00000000" w:rsidR="00000000" w:rsidRPr="00000000">
        <w:rPr>
          <w:rFonts w:ascii="Times New Roman" w:cs="Times New Roman" w:eastAsia="Times New Roman" w:hAnsi="Times New Roman"/>
          <w:b w:val="1"/>
          <w:bCs w:val="1"/>
          <w:i w:val="1"/>
          <w:iCs w:val="1"/>
          <w:color w:val="052229"/>
          <w:rtl w:val="0"/>
        </w:rPr>
      </w:r>
      <w:r w:rsidDel="00000000" w:rsidR="00000000" w:rsidRPr="00000000">
        <w:rPr>
          <w:rFonts w:ascii="Times New Roman" w:cs="Times New Roman" w:eastAsia="Times New Roman" w:hAnsi="Times New Roman"/>
          <w:i w:val="1"/>
          <w:iCs w:val="1"/>
          <w:color w:val="052229"/>
          <w:rtl w:val="0"/>
        </w:rPr>
      </w:r>
    </w:p>
    <w:p w:rsidR="00000000" w:rsidDel="00000000" w:rsidP="00000000" w:rsidRDefault="00000000" w:rsidRPr="00000000" w14:paraId="00000032">
      <w:pPr>
        <w:spacing w:after="280" w:before="280" w:line="288" w:lineRule="auto"/>
        <w:ind w:right="20" w:firstLine="20"/>
        <w:jc w:val="both"/>
        <w:rPr>
          <w:rFonts w:ascii="Times New Roman" w:cs="Times New Roman" w:eastAsia="Times New Roman" w:hAnsi="Times New Roman"/>
          <w:color w:val="052229"/>
          <w:sz w:val="24"/>
          <w:szCs w:val="24"/>
        </w:rPr>
      </w:pPr>
      <w:r w:rsidDel="00000000" w:rsidR="00000000" w:rsidRPr="00000000">
        <w:rPr>
          <w:rFonts w:ascii="Times New Roman" w:cs="Times New Roman" w:eastAsia="Times New Roman" w:hAnsi="Times New Roman"/>
          <w:color w:val="052229"/>
          <w:sz w:val="24"/>
          <w:szCs w:val="24"/>
          <w:rtl w:val="0"/>
        </w:rPr>
        <w:t xml:space="preserve">Com efeito, depreende-se da leitura do voto condutor do acórdão que </w:t>
      </w:r>
      <w:r w:rsidDel="00000000" w:rsidR="00000000" w:rsidRPr="00000000">
        <w:rPr>
          <w:rFonts w:ascii="Times New Roman" w:cs="Times New Roman" w:eastAsia="Times New Roman" w:hAnsi="Times New Roman"/>
          <w:color w:val="052229"/>
          <w:sz w:val="24"/>
          <w:szCs w:val="24"/>
          <w:highlight w:val="yellow"/>
          <w:rtl w:val="0"/>
        </w:rPr>
        <w:t>o mesmo se encontra em conformidade com o</w:t>
      </w:r>
      <w:r w:rsidDel="00000000" w:rsidR="00000000" w:rsidRPr="00000000">
        <w:rPr>
          <w:rFonts w:ascii="Times New Roman" w:cs="Times New Roman" w:eastAsia="Times New Roman" w:hAnsi="Times New Roman"/>
          <w:color w:val="052229"/>
          <w:sz w:val="24"/>
          <w:szCs w:val="24"/>
          <w:rtl w:val="0"/>
        </w:rPr>
        <w:t xml:space="preserve"> decidido no  tema pela TNU.</w:t>
      </w:r>
    </w:p>
    <w:p w:rsidR="00000000" w:rsidDel="00000000" w:rsidP="00000000" w:rsidRDefault="00000000" w:rsidRPr="00000000" w14:paraId="00000033">
      <w:pPr>
        <w:spacing w:after="280" w:before="280" w:line="288"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A proposito, consta do acordao hostilizado: </w:t>
      </w:r>
      <w:r w:rsidDel="00000000" w:rsidR="00000000" w:rsidRPr="00000000">
        <w:rPr>
          <w:rFonts w:ascii="Times New Roman" w:cs="Times New Roman" w:eastAsia="Times New Roman" w:hAnsi="Times New Roman"/>
          <w:color w:val="052229"/>
          <w:sz w:val="26"/>
          <w:szCs w:val="26"/>
          <w:highlight w:val="yellow"/>
          <w:rtl w:val="0"/>
        </w:rPr>
        <w:t>(...) Práticas Abusivas, DIREITO DO CONSUMIDOR, Oferta e Publicidade, DIREITO DO CONSUMIDOR, Vendas casadas, DIREITO DO CONSUMIDOR, Dever de Informação, DIREITO DO CONSUMIDOR</w:t>
      </w:r>
      <w:r w:rsidDel="00000000" w:rsidR="00000000" w:rsidRPr="00000000">
        <w:rPr>
          <w:rtl w:val="0"/>
        </w:rPr>
      </w:r>
    </w:p>
    <w:p w:rsidR="00000000" w:rsidDel="00000000" w:rsidP="00000000" w:rsidRDefault="00000000" w:rsidRPr="00000000" w14:paraId="00000034">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Nessas condições, o conteúdo do Acórdão recorrido é consentâneo com o entendimento da TNU, firmado em julgamento de recurso representativo de controvérsia, o que atrai a incidência da regra prevista pelo art. 14, III, </w:t>
      </w:r>
      <w:r w:rsidDel="00000000" w:rsidR="00000000" w:rsidRPr="00000000">
        <w:rPr>
          <w:rFonts w:ascii="Times New Roman" w:cs="Times New Roman" w:eastAsia="Times New Roman" w:hAnsi="Times New Roman"/>
          <w:i w:val="1"/>
          <w:iCs w:val="1"/>
          <w:color w:val="052229"/>
          <w:sz w:val="26"/>
          <w:szCs w:val="26"/>
          <w:rtl w:val="0"/>
        </w:rPr>
        <w:t>b,</w:t>
      </w:r>
      <w:r w:rsidDel="00000000" w:rsidR="00000000" w:rsidRPr="00000000">
        <w:rPr>
          <w:rFonts w:ascii="Times New Roman" w:cs="Times New Roman" w:eastAsia="Times New Roman" w:hAnsi="Times New Roman"/>
          <w:color w:val="052229"/>
          <w:sz w:val="26"/>
          <w:szCs w:val="26"/>
          <w:rtl w:val="0"/>
        </w:rPr>
        <w:t xml:space="preserve"> da Resolução CJF n. 586/2019:</w:t>
      </w:r>
    </w:p>
    <w:p w:rsidR="00000000" w:rsidDel="00000000" w:rsidP="00000000" w:rsidRDefault="00000000" w:rsidRPr="00000000" w14:paraId="00000035">
      <w:pPr>
        <w:spacing w:after="280" w:before="280" w:line="240" w:lineRule="auto"/>
        <w:ind w:left="2267.716535433071" w:firstLine="0"/>
        <w:jc w:val="both"/>
        <w:rPr>
          <w:rFonts w:ascii="Times New Roman" w:cs="Times New Roman" w:eastAsia="Times New Roman" w:hAnsi="Times New Roman"/>
          <w:i w:val="1"/>
          <w:iCs w:val="1"/>
          <w:color w:val="052229"/>
        </w:rPr>
      </w:pPr>
      <w:r w:rsidDel="00000000" w:rsidR="00000000" w:rsidRPr="00000000">
        <w:rPr>
          <w:rFonts w:ascii="Times New Roman" w:cs="Times New Roman" w:eastAsia="Times New Roman" w:hAnsi="Times New Roman"/>
          <w:b w:val="1"/>
          <w:bCs w:val="1"/>
          <w:i w:val="1"/>
          <w:iCs w:val="1"/>
          <w:color w:val="052229"/>
          <w:rtl w:val="0"/>
        </w:rPr>
        <w:t>Art. 14.</w:t>
      </w:r>
      <w:r w:rsidDel="00000000" w:rsidR="00000000" w:rsidRPr="00000000">
        <w:rPr>
          <w:rFonts w:ascii="Times New Roman" w:cs="Times New Roman" w:eastAsia="Times New Roman" w:hAnsi="Times New Roman"/>
          <w:i w:val="1"/>
          <w:iCs w:val="1"/>
          <w:color w:val="052229"/>
          <w:rtl w:val="0"/>
        </w:rPr>
        <w:t xml:space="preserve"> Decorrido o prazo para contrarrazões, os autos serão conclusos ao magistrado responsável pelo exame preliminar de admissibilidade, que deverá, de forma sucessiva: (...) </w:t>
      </w:r>
      <w:r w:rsidDel="00000000" w:rsidR="00000000" w:rsidRPr="00000000">
        <w:rPr>
          <w:rFonts w:ascii="Times New Roman" w:cs="Times New Roman" w:eastAsia="Times New Roman" w:hAnsi="Times New Roman"/>
          <w:b w:val="1"/>
          <w:bCs w:val="1"/>
          <w:i w:val="1"/>
          <w:iCs w:val="1"/>
          <w:color w:val="052229"/>
          <w:rtl w:val="0"/>
        </w:rPr>
        <w:t xml:space="preserve">III </w:t>
      </w:r>
      <w:r w:rsidDel="00000000" w:rsidR="00000000" w:rsidRPr="00000000">
        <w:rPr>
          <w:rFonts w:ascii="Times New Roman" w:cs="Times New Roman" w:eastAsia="Times New Roman" w:hAnsi="Times New Roman"/>
          <w:i w:val="1"/>
          <w:iCs w:val="1"/>
          <w:color w:val="052229"/>
          <w:rtl w:val="0"/>
        </w:rPr>
        <w:t xml:space="preserve">- negar seguimento a pedido de uniformização de interpretação de lei federal interposto contra acórdão que esteja em conformidade com entendimento consolidado: </w:t>
      </w:r>
      <w:r w:rsidDel="00000000" w:rsidR="00000000" w:rsidRPr="00000000">
        <w:rPr>
          <w:rFonts w:ascii="Times New Roman" w:cs="Times New Roman" w:eastAsia="Times New Roman" w:hAnsi="Times New Roman"/>
          <w:b w:val="1"/>
          <w:bCs w:val="1"/>
          <w:i w:val="1"/>
          <w:iCs w:val="1"/>
          <w:color w:val="052229"/>
          <w:rtl w:val="0"/>
        </w:rPr>
        <w:t>b)</w:t>
      </w:r>
      <w:r w:rsidDel="00000000" w:rsidR="00000000" w:rsidRPr="00000000">
        <w:rPr>
          <w:rFonts w:ascii="Times New Roman" w:cs="Times New Roman" w:eastAsia="Times New Roman" w:hAnsi="Times New Roman"/>
          <w:i w:val="1"/>
          <w:iCs w:val="1"/>
          <w:color w:val="052229"/>
          <w:rtl w:val="0"/>
        </w:rPr>
        <w:t xml:space="preserve"> em </w:t>
      </w:r>
      <w:r w:rsidDel="00000000" w:rsidR="00000000" w:rsidRPr="00000000">
        <w:rPr>
          <w:rFonts w:ascii="Times New Roman" w:cs="Times New Roman" w:eastAsia="Times New Roman" w:hAnsi="Times New Roman"/>
          <w:b w:val="1"/>
          <w:bCs w:val="1"/>
          <w:i w:val="1"/>
          <w:iCs w:val="1"/>
          <w:color w:val="052229"/>
          <w:u w:val="single"/>
          <w:rtl w:val="0"/>
        </w:rPr>
        <w:t>recurso representativo de controvérsia pela Turma Nacional de Uniformização</w:t>
      </w:r>
      <w:r w:rsidDel="00000000" w:rsidR="00000000" w:rsidRPr="00000000">
        <w:rPr>
          <w:rFonts w:ascii="Times New Roman" w:cs="Times New Roman" w:eastAsia="Times New Roman" w:hAnsi="Times New Roman"/>
          <w:i w:val="1"/>
          <w:iCs w:val="1"/>
          <w:color w:val="052229"/>
          <w:rtl w:val="0"/>
        </w:rPr>
        <w:t xml:space="preserve"> ou em pedido de uniformização de interpretação de lei dirigido ao Superior Tribunal de Justiça;(...).</w:t>
      </w:r>
    </w:p>
    <w:p w:rsidR="00000000" w:rsidDel="00000000" w:rsidP="00000000" w:rsidRDefault="00000000" w:rsidRPr="00000000" w14:paraId="00000036">
      <w:pPr>
        <w:spacing w:after="280" w:before="280" w:lineRule="auto"/>
        <w:ind w:right="20" w:firstLine="20"/>
        <w:jc w:val="both"/>
        <w:rPr>
          <w:rFonts w:ascii="Times New Roman" w:cs="Times New Roman" w:eastAsia="Times New Roman" w:hAnsi="Times New Roman"/>
          <w:b w:val="1"/>
          <w:bCs w:val="1"/>
          <w:color w:val="052229"/>
          <w:sz w:val="26"/>
          <w:szCs w:val="26"/>
        </w:rPr>
      </w:pPr>
      <w:r w:rsidDel="00000000" w:rsidR="00000000" w:rsidRPr="00000000">
        <w:rPr>
          <w:rFonts w:ascii="Times New Roman" w:cs="Times New Roman" w:eastAsia="Times New Roman" w:hAnsi="Times New Roman"/>
          <w:color w:val="052229"/>
          <w:sz w:val="26"/>
          <w:szCs w:val="26"/>
          <w:rtl w:val="0"/>
        </w:rPr>
        <w:t xml:space="preserve">Posto isso, com arrimo no </w:t>
      </w:r>
      <w:r w:rsidDel="00000000" w:rsidR="00000000" w:rsidRPr="00000000">
        <w:rPr>
          <w:rFonts w:ascii="Times New Roman" w:cs="Times New Roman" w:eastAsia="Times New Roman" w:hAnsi="Times New Roman"/>
          <w:b w:val="1"/>
          <w:bCs w:val="1"/>
          <w:color w:val="052229"/>
          <w:sz w:val="26"/>
          <w:szCs w:val="26"/>
          <w:u w:val="single"/>
          <w:rtl w:val="0"/>
        </w:rPr>
        <w:t xml:space="preserve">art. 14, III, </w:t>
      </w:r>
      <w:r w:rsidDel="00000000" w:rsidR="00000000" w:rsidRPr="00000000">
        <w:rPr>
          <w:rFonts w:ascii="Times New Roman" w:cs="Times New Roman" w:eastAsia="Times New Roman" w:hAnsi="Times New Roman"/>
          <w:b w:val="1"/>
          <w:bCs w:val="1"/>
          <w:i w:val="1"/>
          <w:iCs w:val="1"/>
          <w:color w:val="052229"/>
          <w:sz w:val="26"/>
          <w:szCs w:val="26"/>
          <w:u w:val="single"/>
          <w:rtl w:val="0"/>
        </w:rPr>
        <w:t>b</w:t>
      </w:r>
      <w:r w:rsidDel="00000000" w:rsidR="00000000" w:rsidRPr="00000000">
        <w:rPr>
          <w:rFonts w:ascii="Times New Roman" w:cs="Times New Roman" w:eastAsia="Times New Roman" w:hAnsi="Times New Roman"/>
          <w:i w:val="1"/>
          <w:iCs w:val="1"/>
          <w:color w:val="052229"/>
          <w:sz w:val="26"/>
          <w:szCs w:val="26"/>
          <w:rtl w:val="0"/>
        </w:rPr>
        <w:t>,</w:t>
      </w:r>
      <w:r w:rsidDel="00000000" w:rsidR="00000000" w:rsidRPr="00000000">
        <w:rPr>
          <w:rFonts w:ascii="Times New Roman" w:cs="Times New Roman" w:eastAsia="Times New Roman" w:hAnsi="Times New Roman"/>
          <w:color w:val="052229"/>
          <w:sz w:val="26"/>
          <w:szCs w:val="26"/>
          <w:rtl w:val="0"/>
        </w:rPr>
        <w:t xml:space="preserve"> da Resolução CJF n. 586/2019 c/c art. 1.030, I, do CPC, </w:t>
      </w:r>
      <w:r w:rsidDel="00000000" w:rsidR="00000000" w:rsidRPr="00000000">
        <w:rPr>
          <w:rFonts w:ascii="Times New Roman" w:cs="Times New Roman" w:eastAsia="Times New Roman" w:hAnsi="Times New Roman"/>
          <w:b w:val="1"/>
          <w:bCs w:val="1"/>
          <w:color w:val="052229"/>
          <w:sz w:val="26"/>
          <w:szCs w:val="26"/>
          <w:rtl w:val="0"/>
        </w:rPr>
        <w:t xml:space="preserve">NEGO SEGUIMENTO </w:t>
      </w:r>
      <w:r w:rsidDel="00000000" w:rsidR="00000000" w:rsidRPr="00000000">
        <w:rPr>
          <w:rFonts w:ascii="Times New Roman" w:cs="Times New Roman" w:eastAsia="Times New Roman" w:hAnsi="Times New Roman"/>
          <w:b w:val="1"/>
          <w:bCs w:val="1"/>
          <w:color w:val="052229"/>
          <w:sz w:val="26"/>
          <w:szCs w:val="26"/>
          <w:rtl w:val="0"/>
        </w:rPr>
        <w:t>a</w:t>
      </w:r>
      <w:r w:rsidDel="00000000" w:rsidR="00000000" w:rsidRPr="00000000">
        <w:rPr>
          <w:rFonts w:ascii="Times New Roman" w:cs="Times New Roman" w:eastAsia="Times New Roman" w:hAnsi="Times New Roman"/>
          <w:color w:val="052229"/>
          <w:sz w:val="26"/>
          <w:szCs w:val="26"/>
          <w:rtl w:val="0"/>
        </w:rPr>
        <w:t>o</w:t>
      </w:r>
      <w:r w:rsidDel="00000000" w:rsidR="00000000" w:rsidRPr="00000000">
        <w:rPr>
          <w:rFonts w:ascii="Times New Roman" w:cs="Times New Roman" w:eastAsia="Times New Roman" w:hAnsi="Times New Roman"/>
          <w:b w:val="1"/>
          <w:bCs w:val="1"/>
          <w:color w:val="052229"/>
          <w:sz w:val="26"/>
          <w:szCs w:val="26"/>
          <w:rtl w:val="0"/>
        </w:rPr>
        <w:t xml:space="preserve"> PU</w:t>
      </w:r>
      <w:r w:rsidDel="00000000" w:rsidR="00000000" w:rsidRPr="00000000">
        <w:rPr>
          <w:rFonts w:ascii="Times New Roman" w:cs="Times New Roman" w:eastAsia="Times New Roman" w:hAnsi="Times New Roman"/>
          <w:b w:val="1"/>
          <w:bCs w:val="1"/>
          <w:color w:val="052229"/>
          <w:sz w:val="26"/>
          <w:szCs w:val="26"/>
          <w:rtl w:val="0"/>
        </w:rPr>
        <w:t>.</w:t>
      </w:r>
    </w:p>
    <w:p w:rsidR="00000000" w:rsidDel="00000000" w:rsidP="00000000" w:rsidRDefault="00000000" w:rsidRPr="00000000" w14:paraId="00000037">
      <w:pPr>
        <w:spacing w:after="280" w:before="280" w:lineRule="auto"/>
        <w:ind w:right="20" w:firstLine="20"/>
        <w:jc w:val="both"/>
        <w:rPr>
          <w:rFonts w:ascii="Times New Roman" w:cs="Times New Roman" w:eastAsia="Times New Roman" w:hAnsi="Times New Roman"/>
          <w:color w:val="052229"/>
          <w:sz w:val="26"/>
          <w:szCs w:val="26"/>
        </w:rPr>
      </w:pPr>
      <w:r w:rsidDel="00000000" w:rsidR="00000000" w:rsidRPr="00000000">
        <w:rPr>
          <w:rFonts w:ascii="Times New Roman" w:cs="Times New Roman" w:eastAsia="Times New Roman" w:hAnsi="Times New Roman"/>
          <w:color w:val="052229"/>
          <w:sz w:val="26"/>
          <w:szCs w:val="26"/>
          <w:rtl w:val="0"/>
        </w:rPr>
        <w:t>Intimem-se. Aguarde-se o decurso do prazo recursal. Após, certifique-se o trânsito em julgado e devolva-se ao juízo de origem.</w:t>
      </w:r>
      <w:r w:rsidDel="00000000" w:rsidR="00000000" w:rsidRPr="00000000"/>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METimKnzKK0ULSqE7UedO_5nH3JVJHt0" TargetMode="External"/><Relationship Id="rId7" Type="http://schemas.openxmlformats.org/officeDocument/2006/relationships/hyperlink" Target="https://docs.google.com/spreadsheets/d/1Mjmsh7iDH9Pdv7vV2IYMBhhOHuKVtkGlYzEh7ipgZ4g/edit?gid=923871152#gid=92387115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