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5009416-32.2013.4.04.7200/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09/03/2016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01/09/2017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necessária a comprovação de exercício de atividade rural no período imediatamente anterior à implementação do requisito etário, para fins de concessão de aposentadoria híbrida."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a concessão da aposentadoria por idade híbrida ou mista, na forma do art. 48, § 3º, da Lei n. 8.213/91, cujo requisito etário é o mesmo exigido para a aposentadoria por idade urbana, é irrelevante a natureza rural ou urbana da atividade exercida pelo segurado no período imediatamente anterior à implementação do requisito etário ou ao requerimento do benefício. Ainda, não há vedação para que o tempo rural anterior à Lei 8.213/91 seja considerado para efeito de carência, mesmo que não verificado o recolhimento das respectivas contribuições." (Tema 131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Híbrida (Art. 48/106), Aposentadoria por Idade (Art. 48/51), Benefícios em Espécie, DIREITO PREVIDENCIÁRIO, Nulidade - Intimação Sem Observância das Prescrições Legais, Nulidade, Atos Processuais, DIREITO PROCESSUAL CIVIL E DO TRABALHO, Cerceamento de Defesa, Nulidade, Atos Processuais, DIREITO PROCESSUAL CIVIL E DO TRABALHO, Prazo, Atos Processuais,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