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164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0500774-49.2016.4.05.8305/PE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24/02/2017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02/10/2018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quais são os reflexos das novas regras constantes na MP nº 739/2016 (§§ 8º e 9º do art. 60 da Lei 8.213/1991) na fixação da data de cessação do benefício auxílio-doença e da exigência, quando for o caso, do pedido de prorrogação, bem como se são aplicáveis aos benefícios concedidos e às demandas ajuizadas em momento anterior à sua vigência."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"Por não vislumbrar ilegalidade na fixação de data estimada para a cessação do auxílio-doença, ou mesmo na convocação do segurado para nova avaliação da persistência das condições que levaram à concessão do benefício na via judicial, a Turma Nacional de Uniformização, por unanimidade, firmou as seguintes teses: a) os benefícios de auxílio-doença concedidos judicial ou administrativamente, sem Data de Cessação de Benefício (DCB), ainda que anteriormente à edição da MP nº 739/2016, podem ser objeto de revisão administrativa, na forma e prazos previstos em lei e demais normas que regulamentam a matéria, por meio de prévia convocação dos segurados pelo INSS, para avaliar se persistem os motivos de concessão do benefício; b) os benefícios concedidos, reativados ou prorrogados posteriormente à publicação da MP nº 767/2017, convertida na Lei n.º 13.457/17, devem, nos termos da lei, ter a sua DCB fixada, sendo desnecessária, nesses casos, a realização de nova perícia para a cessação do benefício; c) em qualquer caso, o segurado poderá pedir a prorrogação do benefício, com garantia de pagamento até a realização da perícia médica." (Tema 164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Adicional de Insalubridade,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