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312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5093930-80.2021.4.02.5101/RJ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10/11/2022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15/02/2024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o abono PCR está sujeito à incidência do imposto de renda das pessoas físicas - IRPF."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"A verba denominada ‘abono PCR’, paga pela Petrobras aos seus funcionários como forma de estimular a migração de plano de carreira se sujeita à incidência do imposto sobre a renda." (Tema 312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Retido na fonte, IRPF/Imposto de Renda de Pessoa Física, Impostos, DIREITO TRIBUTÁRIO, Incidência sobre Licença-Prêmio/Abono/Indenização, IRPF/Imposto de Renda de Pessoa Física, Impostos, DIREITO TRIBUTÁRIO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