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2E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Verifica-se que a questão objeto da controvérsia jurídica suscitada no recurso manejado pela parte recorrente esteve afetada no representativo da controvérsia -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Tema n.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highlight w:val="yellow"/>
          <w:rtl w:val="0"/>
        </w:rPr>
        <w:t>322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TNU - (PU no processo n.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PEDILEF 5014634-54.2021.4.04.7202/SC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 afetado em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 xml:space="preserve"> 15/03/2023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foi julgado (trânsito em julgado em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29/01/2024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), por meio do qual foi elucidada a seguinte questão:</w:t>
      </w:r>
    </w:p>
    <w:p w:rsidR="00000000" w:rsidDel="00000000" w:rsidP="00000000" w:rsidRDefault="00000000" w:rsidRPr="00000000" w14:paraId="0000002F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"Saber se devem ser computados os valores percebidos a título de auxílio-acidente no período básico de cálculo (PBC) da aposentadoria por idade rural do segurado especial, para fins de incremento da renda mensal inicial (RMI), independentemente do recolhimento de contribuições facultativas."</w:t>
      </w:r>
    </w:p>
    <w:p w:rsidR="00000000" w:rsidDel="00000000" w:rsidP="00000000" w:rsidRDefault="00000000" w:rsidRPr="00000000" w14:paraId="00000030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Restou firmada a seguinte tese:</w:t>
      </w:r>
    </w:p>
    <w:p w:rsidR="00000000" w:rsidDel="00000000" w:rsidP="00000000" w:rsidRDefault="00000000" w:rsidRPr="00000000" w14:paraId="00000031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highlight w:val="yellow"/>
          <w:rtl w:val="0"/>
        </w:rPr>
        <w:t>"Devem ser computados os valores percebidos a título de auxílio-acidente no período básico de cálculo (PBC) da aposentadoria por idade rural do segurado especial, para fins de incremento da renda mensal inicial (RMI), independentemente do recolhimento de contribuições facultativas, a teor do inciso II do artigo 34 da Lei n. 8.213/91, excetuadas as hipóteses de cumulação de benefícios contempladas na Súmula 507 do STJ." (Tema 322 TNU).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</w:r>
    </w:p>
    <w:p w:rsidR="00000000" w:rsidDel="00000000" w:rsidP="00000000" w:rsidRDefault="00000000" w:rsidRPr="00000000" w14:paraId="00000032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Com efeito, depreende-se da leitura do voto condutor do acórdão que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highlight w:val="yellow"/>
          <w:rtl w:val="0"/>
        </w:rPr>
        <w:t>o mesmo se encontra em conformidade com o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4"/>
          <w:szCs w:val="24"/>
          <w:rtl w:val="0"/>
        </w:rPr>
        <w:t xml:space="preserve"> decidido no  tema pela TNU.</w:t>
      </w:r>
    </w:p>
    <w:p w:rsidR="00000000" w:rsidDel="00000000" w:rsidP="00000000" w:rsidRDefault="00000000" w:rsidRPr="00000000" w14:paraId="00000033">
      <w:pPr>
        <w:spacing w:after="280" w:before="280" w:line="288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A proposito, consta do acordao hostilizado: 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highlight w:val="yellow"/>
          <w:rtl w:val="0"/>
        </w:rPr>
        <w:t>(...) Descontos dos benefícios, Reajustes e Revisões Específicos, RMI - Renda Mensal Inicial, Reajustes e Revisões Específicas, DIREITO PREVIDENCIÁRIO, Descontos Indevidos, Sistema Remuneratório e Benefícios, Servidor Público Civil, DIREITO ADMINISTRATIVO E OUTRAS MATÉRIAS DE DIREITO PÚBLICO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Nessas condições, o conteúdo do Acórdão recorrido é consentâneo com o entendimento da TNU, firmado em julgamento de recurso representativo de controvérsia, o que atrai a incidência da regra prevista pelo art. 14, III,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b,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586/2019:</w:t>
      </w:r>
    </w:p>
    <w:p w:rsidR="00000000" w:rsidDel="00000000" w:rsidP="00000000" w:rsidRDefault="00000000" w:rsidRPr="00000000" w14:paraId="00000035">
      <w:pPr>
        <w:spacing w:after="280" w:before="280" w:line="240" w:lineRule="auto"/>
        <w:ind w:left="2267.716535433071" w:firstLine="0"/>
        <w:jc w:val="both"/>
        <w:rPr>
          <w:rFonts w:ascii="Times New Roman" w:cs="Times New Roman" w:eastAsia="Times New Roman" w:hAnsi="Times New Roman"/>
          <w:i w:val="1"/>
          <w:iCs w:val="1"/>
          <w:color w:val="052229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Art. 14.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Decorrido o prazo para contrarrazões, os autos serão conclusos ao magistrado responsável pelo exame preliminar de admissibilidade, que deverá, de forma sucessiva: (...)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 xml:space="preserve">III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- negar seguimento a pedido de uniformização de interpretação de lei federal interposto contra acórdão que esteja em conformidade com entendimento consolidado: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rtl w:val="0"/>
        </w:rPr>
        <w:t>b)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em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u w:val="single"/>
          <w:rtl w:val="0"/>
        </w:rPr>
        <w:t>recurso representativo de controvérsia pela Turma Nacional de Uniformização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rtl w:val="0"/>
        </w:rPr>
        <w:t xml:space="preserve"> ou em pedido de uniformização de interpretação de lei dirigido ao Superior Tribunal de Justiça;(...).</w:t>
      </w:r>
    </w:p>
    <w:p w:rsidR="00000000" w:rsidDel="00000000" w:rsidP="00000000" w:rsidRDefault="00000000" w:rsidRPr="00000000" w14:paraId="00000036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Posto isso, com arrimo no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u w:val="single"/>
          <w:rtl w:val="0"/>
        </w:rPr>
        <w:t xml:space="preserve">art. 14, III,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color w:val="052229"/>
          <w:sz w:val="26"/>
          <w:szCs w:val="26"/>
          <w:u w:val="single"/>
          <w:rtl w:val="0"/>
        </w:rPr>
        <w:t>b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52229"/>
          <w:sz w:val="26"/>
          <w:szCs w:val="26"/>
          <w:rtl w:val="0"/>
        </w:rPr>
        <w:t>,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 xml:space="preserve"> da Resolução CJF n. 586/2019 c/c art. 1.030, I, do CPC,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NEGO SEGUIMENTO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a</w:t>
      </w: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o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 xml:space="preserve"> PU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52229"/>
          <w:sz w:val="26"/>
          <w:szCs w:val="26"/>
          <w:rtl w:val="0"/>
        </w:rPr>
        <w:t>.</w:t>
      </w:r>
    </w:p>
    <w:p w:rsidR="00000000" w:rsidDel="00000000" w:rsidP="00000000" w:rsidRDefault="00000000" w:rsidRPr="00000000" w14:paraId="00000037">
      <w:pPr>
        <w:spacing w:after="280" w:before="280" w:lineRule="auto"/>
        <w:ind w:right="20" w:firstLine="20"/>
        <w:jc w:val="both"/>
        <w:rPr>
          <w:rFonts w:ascii="Times New Roman" w:cs="Times New Roman" w:eastAsia="Times New Roman" w:hAnsi="Times New Roman"/>
          <w:color w:val="052229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color w:val="052229"/>
          <w:sz w:val="26"/>
          <w:szCs w:val="26"/>
          <w:rtl w:val="0"/>
        </w:rPr>
        <w:t>Intimem-se. Aguarde-se o decurso do prazo recursal. Após, certifique-se o trânsito em julgado e devolva-se ao juízo de origem.</w:t>
      </w:r>
      <w:r w:rsidDel="00000000" w:rsidR="00000000" w:rsidRPr="00000000"/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Book Antiqu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rive.google.com/drive/folders/1METimKnzKK0ULSqE7UedO_5nH3JVJHt0" TargetMode="External"/><Relationship Id="rId7" Type="http://schemas.openxmlformats.org/officeDocument/2006/relationships/hyperlink" Target="https://docs.google.com/spreadsheets/d/1Mjmsh7iDH9Pdv7vV2IYMBhhOHuKVtkGlYzEh7ipgZ4g/edit?gid=923871152#gid=92387115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BookAntiqua-regular.ttf"/><Relationship Id="rId2" Type="http://schemas.openxmlformats.org/officeDocument/2006/relationships/font" Target="fonts/BookAntiqua-bold.ttf"/><Relationship Id="rId3" Type="http://schemas.openxmlformats.org/officeDocument/2006/relationships/font" Target="fonts/BookAntiqua-italic.ttf"/><Relationship Id="rId4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