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0504108- 62.2009.4.05.8200/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06/05/2011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12/09/2018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renovação do requerimento administrativo para concessão de benefício assistencial."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ajuizamento de ações visando o recebimento do benefício previsto no art. 203, V, da Constituição Federal não exige a renovação bienal do requerimento administrativo, afastada a indevida analogia ao art. 21, da Lei n. 8.742/93. RE 914797 - DECISÃO STF: determino a devolução dos autos ao Juízo de origem para que seja observada a decisão do Supremo no precedente RE 631.240 - TEMA 350." (Tema 10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Deficiente, Benefício Assistencial (Art. 203,V CF/88), DIREITO ASSISTENCIAL, Restabelecimento,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