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230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0028697-44.2016.4.01.3900/PA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18/09/2019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01/06/2021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"Estabelecer qual a base de cálculo do Imposto sobre Operações de Crédito, Câmbio e Seguro ou relativas a Títulos ou Valores Mobiliários (IOF) no caso de contratos de crédito prorrogados, renovados ou renegociados."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"Não haverá incidência de IOF complementar sobre o saldo devedor não liquidado de operação de crédito objeto de prorrogação, renovação, novação, composição, consolidação, confissão de dívida e negócios assemelhados, sem substituição de devedor, caso na operação de origem tenha sido aplicado o limite máximo previsto no art. 7º, §1º do Decreto n. 6306/2007 (alíquota vigente aplicada ao valor do principal colocado a disposição do devedor, multiplicada por 365 dias, acrescida da alíquota adicional de 0,038%). Todavia, nos casos em que na operação de origem a alíquota aplicada tenha sido inferior à máxima prevista no Decreto n. 6.306/2007 haverá a incidência da exação, sobre o saldo não liquidado, sem que se cogite bis in idem. Por sua vez, a base de cálculo do IOF nos casos de contratos de crédito prorrogados, renovados ou renegociados é o saldo não liquidado. A entrega ou colocação de novos valores ao mutuário na mesma oportunidade constitui nova base de cálculo que permite a incidência de IOF nos termos do art. 7o § 9o do 6.306 de 14 de dezembro de 2007." (Tema 230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Cédula de crédito bancário, Espécies de títulos de crédito, Obrigações, DIREITO CIVIL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