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5004376-97.2017.4.04.7113/RS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PUIL 2266/DF (Trânsito em julgado no STJ em 25/08/2023);   e RE 1455046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rol do inciso II do art. 26 c/c art. 151 da Lei nº 8.213/91 é taxativo ou se pode contemplar outras hipóteses de isenção de carência, como a gravidez de alto risco."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"1. O rol do inciso II do art. 26 da lei 8.213/91 é exaustivo. 2. A lista de doenças mencionada no inciso II, atualmente regulamentada pelo art. 151 da Lei nº 8.213/91, não é taxativa, admitindo interpretação extensiva, desde que demonstrada a especificidade e gravidade que mereçam tratamento particularizado. 3. A gravidez de alto risco, com recomendação médica de afastamento do trabalho por mais de 15 dias consecutivos, autoriza a dispensa de carência para acesso aos benefícios por incapacidade." (Tema 220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Descontos Indevidos, Pedidos Genéricos Relativos aos Benefícios em Espécie, DIREITO PREVIDENCIÁRIO, Contribuição Sindical, Organização Sindical, DIREITO ADMINISTRATIVO E OUTRAS MATÉRIAS DE DIREITO PÚBLICO,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