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2007.71.50.003828-3/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09/10/2012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renúncia tácita da prescrição com o reconhecimento, pela Administração Pública, do direito ao adicional por tempo de serviço."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reconhecimento, pela Administração Pública, do direito à correção monetária, volta a fluir na integralidade dos cinco anos. Vide Tema 20 da TNU." (Tema 76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Adicional de Serviço Noturno, Sistema Remuneratório e Benefícios, Servidor Público Civil, DIREITO ADMINISTRATIVO E OUTRAS MATÉRIAS DE DIREITO PÚBLICO, Correção / Atualização INPC / IPCA / outro índice, Atualização de Conta, FGTS / Fundo de Garantia por Tempo de Serviço, Organização Político-administrativa / Administração Pública,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