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5014634-54.2021.4.04.7202/SC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15/03/2023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devem ser computados os valores percebidos a título de auxílio-acidente no período básico de cálculo (PBC) da aposentadoria por idade rural do segurado especial, para fins de incremento da renda mensal inicial (RMI), independentemente do recolhimento de contribuições facultativas."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"Devem ser computados os valores percebidos a título de auxílio-acidente no período básico de cálculo (PBC) da aposentadoria por idade rural do segurado especial, para fins de incremento da renda mensal inicial (RMI), independentemente do recolhimento de contribuições facultativas, a teor do inciso II do artigo 34 da Lei n. 8.213/91, excetuadas as hipóteses de cumulação de benefícios contempladas na Súmula 507 do STJ." (Tema 322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Alteração do coeficiente de cálculo de pensão, RMI - Renda Mensal Inicial, RMI - Renda Mensal Inicial, Reajustes e Revisões Específicas, DIREITO PREVIDENCIÁRIO, Vigilante, Aposentadoria Especial (Art. 57/8),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