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5007045-38.2012.4.04.7101/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19/12/2013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os reflexos do Memorando-Circular Conjunto 21/DIRBEN/PFEINSS, de 15-4-2010, na análise da prescrição e decadência dos pedidos de revisão de benefícios."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revisão do benefício de aposentadoria por invalidez decorrente da conversão do auxílio- doença, nos termos do art. 29, II, da Lei n. 8.213/91, sujeita-se ao prazo decadencial previsto no art. 103 da Lei n. 8.213/91, cujo marco inicial é a data da concessão do benefício originário. O prazo decadencial para revisão pelo art. 29, II, da Lei 8.213/91 se inicia a contar de 15/04/2010, em razão do reconhecimento administrativo do direito, perpetrada pelo Memorando-Circular Conjunto 21/DIRBENS/PFEINSS. Em razão do Memorando 21/DIRBEN/PFEINSS, de 15-4-2010, que reconhece o direito do segurado à revisão pelo art. 29, II, da Lei n. 8.213/91, os prazos prescricionais em curso voltaram a correr integralmente a partir de sua publicação. Vide Tema 134." (Tema 120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 por Invalidez (Art. 42/7), Benefícios em Espécie, DIREITO PREVIDENCIÁRIO, Auxílio-Doença Acidentário, Benefícios em Espécie, DIREITO PREVIDENCIÁRIO, Auxílio-Doença Previdenciário, Benefícios em Espécie, DIREITO PREVIDENCIÁRIO, Adicional de 25%, Auxílio-Doença Previdenciário,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