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0500881-37.2018.4.05.8204/PB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12/12/2019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29/01/2021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da regra constante do art. 60, §9.º, da Lei n.º 8.213/91, saber se, para fins de fixação da DCB do auxílio-doença concedido judicialmente, o prazo de recuperação estimado pelo perito judicial deve ser computado a partir da data de sua efetiva implantação ou da data da perícia judicial."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 - Quando a decisão judicial adotar a estimativa de prazo de recuperação da capacidade prevista na perícia, o termo inicial é a data da realização do exame, sem prejuízo do disposto no art. 479 do CPC, devendo ser garantido prazo mínimo de 30 dias, desde a implantação, para viabilizar o pedido administrativo de prorrogação. II - quando o ato de concessão (administrativa ou judicial) não indicar o tempo de recuperação da capacidade, o prazo de 120 dias, previsto no § 9º, do art. 60 da Lei 8.213/91, deve ser contado a partir da data da efetiva implantação ou restabelecimento do benefício no sistema de gestão de benefícios da autarquia." (Tema 246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Indenizações Regulares,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